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22E" w:rsidRDefault="004E622E" w:rsidP="004E622E">
      <w:pPr>
        <w:jc w:val="both"/>
        <w:outlineLvl w:val="0"/>
        <w:rPr>
          <w:rStyle w:val="FontStyle18"/>
          <w:rFonts w:eastAsia="Times New Roman"/>
          <w:b/>
          <w:sz w:val="24"/>
          <w:szCs w:val="24"/>
        </w:rPr>
      </w:pPr>
      <w:r>
        <w:rPr>
          <w:rStyle w:val="FontStyle18"/>
          <w:rFonts w:eastAsia="Times New Roman"/>
          <w:b/>
          <w:sz w:val="24"/>
          <w:szCs w:val="24"/>
        </w:rPr>
        <w:t>Resmi Senette Paylı Satış</w:t>
      </w:r>
    </w:p>
    <w:p w:rsidR="004E622E" w:rsidRDefault="004E622E" w:rsidP="004E622E">
      <w:pPr>
        <w:ind w:firstLine="709"/>
        <w:jc w:val="both"/>
        <w:outlineLvl w:val="0"/>
      </w:pPr>
      <w:r>
        <w:rPr>
          <w:rFonts w:ascii="Times New Roman" w:hAnsi="Times New Roman" w:cs="Times New Roman"/>
          <w:sz w:val="24"/>
          <w:szCs w:val="24"/>
        </w:rPr>
        <w:t xml:space="preserve">Satıcılar Naz, </w:t>
      </w:r>
      <w:proofErr w:type="gramStart"/>
      <w:r>
        <w:rPr>
          <w:rFonts w:ascii="Times New Roman" w:hAnsi="Times New Roman" w:cs="Times New Roman"/>
          <w:sz w:val="24"/>
          <w:szCs w:val="24"/>
        </w:rPr>
        <w:t>Ahmet  ve</w:t>
      </w:r>
      <w:proofErr w:type="gramEnd"/>
      <w:r>
        <w:rPr>
          <w:rFonts w:ascii="Times New Roman" w:hAnsi="Times New Roman" w:cs="Times New Roman"/>
          <w:sz w:val="24"/>
          <w:szCs w:val="24"/>
        </w:rPr>
        <w:t xml:space="preserve"> Yusuf  taşınmazdaki paylarını ( 3/160 + 3/160 + 37/80 = ½)  alıcı Faruk’a satmayı resmi senet ile taahhüt etmektedir.  Resmi senette hisse </w:t>
      </w:r>
      <w:proofErr w:type="spellStart"/>
      <w:r>
        <w:rPr>
          <w:rFonts w:ascii="Times New Roman" w:hAnsi="Times New Roman" w:cs="Times New Roman"/>
          <w:sz w:val="24"/>
          <w:szCs w:val="24"/>
        </w:rPr>
        <w:t>mikatrının</w:t>
      </w:r>
      <w:proofErr w:type="spellEnd"/>
      <w:r>
        <w:rPr>
          <w:rFonts w:ascii="Times New Roman" w:hAnsi="Times New Roman" w:cs="Times New Roman"/>
          <w:sz w:val="24"/>
          <w:szCs w:val="24"/>
        </w:rPr>
        <w:t xml:space="preserve"> tam (1)  olarak gösterilmesi gerektiği tenkit edilmiştir.</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Tapu Dairesi Başkanlığınca tenkide iştirak edilmemiş olup yapılan açıklama;</w:t>
      </w:r>
      <w:r>
        <w:rPr>
          <w:rFonts w:ascii="Times New Roman" w:hAnsi="Times New Roman" w:cs="Times New Roman"/>
          <w:sz w:val="24"/>
          <w:szCs w:val="24"/>
        </w:rPr>
        <w:t xml:space="preserve"> resmi senedin arka sayfasında yer alan “ ½ ” ; tescil öncesi, satın alınan hisse miktarını, başka bir ifade ile taşınmazın satışa söz konusu payını ifade etmektedir Tapu Sicil Tüzüğü’nün ‘</w:t>
      </w:r>
      <w:r>
        <w:rPr>
          <w:rFonts w:ascii="Times New Roman" w:hAnsi="Times New Roman" w:cs="Times New Roman"/>
          <w:bCs/>
          <w:sz w:val="24"/>
          <w:szCs w:val="24"/>
        </w:rPr>
        <w:t>Mülkiyet Hakkının Tescili’ başlıklı</w:t>
      </w:r>
      <w:r>
        <w:rPr>
          <w:rFonts w:ascii="Times New Roman" w:hAnsi="Times New Roman" w:cs="Times New Roman"/>
          <w:b/>
          <w:bCs/>
          <w:sz w:val="24"/>
          <w:szCs w:val="24"/>
        </w:rPr>
        <w:t xml:space="preserve"> </w:t>
      </w:r>
      <w:r>
        <w:rPr>
          <w:rFonts w:ascii="Times New Roman" w:hAnsi="Times New Roman" w:cs="Times New Roman"/>
          <w:sz w:val="24"/>
          <w:szCs w:val="24"/>
        </w:rPr>
        <w:t xml:space="preserve">25’inci maddesinin </w:t>
      </w:r>
      <w:r>
        <w:rPr>
          <w:rFonts w:ascii="Times New Roman" w:hAnsi="Times New Roman" w:cs="Times New Roman"/>
          <w:i/>
          <w:sz w:val="24"/>
          <w:szCs w:val="24"/>
        </w:rPr>
        <w:t xml:space="preserve">“…Müşterek mülkiyette pay miktarı; paydaşların adı, soyadı ve baba adından sonraki kısımda, bayağı kesir olarak gösterilir. </w:t>
      </w:r>
      <w:proofErr w:type="gramEnd"/>
      <w:r>
        <w:rPr>
          <w:rFonts w:ascii="Times New Roman" w:hAnsi="Times New Roman" w:cs="Times New Roman"/>
          <w:i/>
          <w:sz w:val="24"/>
          <w:szCs w:val="24"/>
        </w:rPr>
        <w:t>Bir paydaş sonradan başka paya sahip olduğu takdirde, payın tescili sırasında payların toplamı yazılır…”</w:t>
      </w:r>
      <w:r>
        <w:rPr>
          <w:rFonts w:ascii="Times New Roman" w:hAnsi="Times New Roman" w:cs="Times New Roman"/>
          <w:sz w:val="24"/>
          <w:szCs w:val="24"/>
        </w:rPr>
        <w:t xml:space="preserve"> hükmünden ve madde başlığından da anlaşılacağı üzere; hisse tevhidi olarak payların toplamı tescil aşamasında tapu kütüğü sayfasında belirtilmektedir.</w:t>
      </w:r>
    </w:p>
    <w:p w:rsidR="004E622E" w:rsidRDefault="004E622E" w:rsidP="004E622E">
      <w:pPr>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4721 sayılı Türk Medeni Kanunu'nun 'Tescilin Sonuçları'  başlıklı 1022'nci maddesi </w:t>
      </w:r>
      <w:r>
        <w:rPr>
          <w:rFonts w:ascii="Times New Roman" w:hAnsi="Times New Roman" w:cs="Times New Roman"/>
          <w:i/>
          <w:sz w:val="24"/>
          <w:szCs w:val="24"/>
        </w:rPr>
        <w:t xml:space="preserve">"Aynî haklar, kütüğe tescil ile doğar…” </w:t>
      </w:r>
      <w:r>
        <w:rPr>
          <w:rFonts w:ascii="Times New Roman" w:hAnsi="Times New Roman" w:cs="Times New Roman"/>
          <w:sz w:val="24"/>
          <w:szCs w:val="24"/>
        </w:rPr>
        <w:t>hükmünün yanı sıra; ‘Taşınmaz Üzerinde Ayni Hak Kazanılması İçin Tescilin Gerekliliği İlkesi (Tescil İlkesi)’ gereğince, hukuki sebebin tapu kütüğüne tescil edilmesi ile aynî haklara etkisi doğmaktadır. Herhangi bir taşınmazın satış işleminde resmi senet düzenlenmesi, satış işlemine ilişkin tescilinin hukuki sebebini oluşturmaktadır. Keza, ekte yer alan TAKBİS çıktısı tapu kaydında hisse birleştirilmesi talebinin “TAM” olarak belirtildiği görülmektedir. Sonuç itibariyle, hisse tevhidi işlemi, satış işleminin gerçekleşmesinin ardından, Tapu Sicil Tüzüğü’nün 25’inci maddesi doğrultusunda tescil aşamasında tapu kütüğü sayfası üzerinde belirtilmesi gerektiğinden; Müdürlükçe yapılan işlem yerinde görülmüştür.</w:t>
      </w:r>
    </w:p>
    <w:p w:rsidR="00C41118" w:rsidRDefault="00C41118"/>
    <w:sectPr w:rsidR="00C411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E622E"/>
    <w:rsid w:val="004E622E"/>
    <w:rsid w:val="00C411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18">
    <w:name w:val="Font Style18"/>
    <w:basedOn w:val="VarsaylanParagrafYazTipi"/>
    <w:uiPriority w:val="99"/>
    <w:rsid w:val="004E622E"/>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71519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Emre KAPUSUZ</dc:creator>
  <cp:keywords/>
  <dc:description/>
  <cp:lastModifiedBy>Yunus Emre KAPUSUZ</cp:lastModifiedBy>
  <cp:revision>3</cp:revision>
  <dcterms:created xsi:type="dcterms:W3CDTF">2013-06-07T12:28:00Z</dcterms:created>
  <dcterms:modified xsi:type="dcterms:W3CDTF">2013-06-07T12:29:00Z</dcterms:modified>
</cp:coreProperties>
</file>