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2"/>
      </w:tblGrid>
      <w:tr w:rsidR="00562484" w:rsidTr="00562484">
        <w:trPr>
          <w:trHeight w:val="480"/>
        </w:trPr>
        <w:tc>
          <w:tcPr>
            <w:tcW w:w="10632" w:type="dxa"/>
          </w:tcPr>
          <w:p w:rsidR="00562484" w:rsidRDefault="00562484" w:rsidP="00562484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484" w:rsidRPr="00131396" w:rsidRDefault="00562484" w:rsidP="0056248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AMAÇ</w:t>
            </w:r>
          </w:p>
          <w:p w:rsidR="00562484" w:rsidRDefault="00C40AB7" w:rsidP="00C40AB7">
            <w:pPr>
              <w:spacing w:after="0" w:line="240" w:lineRule="auto"/>
              <w:ind w:left="360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Hedefleri ve Planlama Prosedürünün amacı;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ISO 45001:2018 İSG </w:t>
            </w:r>
            <w:r w:rsidR="00180B3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180B3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istemi kapsamında, müşteri odaklılığın geliştirilmesi amacıyla müşteri memnuniyeti sağlanacak şekilde tüm </w:t>
            </w:r>
            <w:proofErr w:type="gramStart"/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>proseslerin</w:t>
            </w:r>
            <w:proofErr w:type="gramEnd"/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 girdi ve çıktılarını iyileştirmesi-geliştirmesi amacıyla periyodik hedefler ortaya konulmasını ve hedeflere ulaşmak için planlama yapılmasını kapsamaktadır.</w:t>
            </w:r>
          </w:p>
          <w:p w:rsidR="00C40AB7" w:rsidRPr="00131396" w:rsidRDefault="00C40AB7" w:rsidP="00C40AB7">
            <w:pPr>
              <w:spacing w:after="0" w:line="240" w:lineRule="auto"/>
              <w:ind w:left="360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4" w:rsidRPr="00131396" w:rsidRDefault="00562484" w:rsidP="0056248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b/>
                <w:sz w:val="24"/>
                <w:szCs w:val="24"/>
              </w:rPr>
              <w:t>KAPSAM</w:t>
            </w:r>
          </w:p>
          <w:p w:rsidR="00562484" w:rsidRDefault="00C40AB7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 Hedefleri ve Planlama </w:t>
            </w:r>
            <w:proofErr w:type="gramStart"/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>prosedürü</w:t>
            </w:r>
            <w:proofErr w:type="gramEnd"/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D3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01870">
              <w:rPr>
                <w:rFonts w:ascii="Times New Roman" w:hAnsi="Times New Roman" w:cs="Times New Roman"/>
                <w:sz w:val="24"/>
                <w:szCs w:val="24"/>
              </w:rPr>
              <w:t>urumumuz</w:t>
            </w:r>
            <w:r w:rsidR="00180B3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>n tüm proseslerini kapsamaktadır.</w:t>
            </w:r>
          </w:p>
          <w:p w:rsidR="00C40AB7" w:rsidRPr="00131396" w:rsidRDefault="00C40AB7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4" w:rsidRPr="00131396" w:rsidRDefault="00562484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b/>
                <w:sz w:val="24"/>
                <w:szCs w:val="24"/>
              </w:rPr>
              <w:t>3. SORUMLULUK VE YETKİ</w:t>
            </w:r>
          </w:p>
          <w:p w:rsidR="00562484" w:rsidRDefault="00C40AB7" w:rsidP="00C40AB7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Hedefleri ve Planlama prosedürünün uygulanmasından, </w:t>
            </w:r>
            <w:r w:rsidR="00501870">
              <w:rPr>
                <w:rFonts w:ascii="Times New Roman" w:hAnsi="Times New Roman" w:cs="Times New Roman"/>
                <w:sz w:val="24"/>
                <w:szCs w:val="24"/>
              </w:rPr>
              <w:t>kurumumuz</w:t>
            </w:r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un tüm </w:t>
            </w:r>
            <w:proofErr w:type="gramStart"/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  <w:proofErr w:type="gramEnd"/>
            <w:r w:rsidR="00562484"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 liderleri sorumludur.</w:t>
            </w:r>
          </w:p>
          <w:p w:rsidR="00C40AB7" w:rsidRPr="00131396" w:rsidRDefault="00C40AB7" w:rsidP="00C40AB7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4" w:rsidRPr="00131396" w:rsidRDefault="00562484" w:rsidP="0056248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562484" w:rsidRPr="00131396" w:rsidRDefault="00562484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proofErr w:type="gramStart"/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  <w:proofErr w:type="gramEnd"/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 lideri yılda en az 1 kez olmak üzere ve;</w:t>
            </w:r>
          </w:p>
          <w:p w:rsidR="00562484" w:rsidRPr="00131396" w:rsidRDefault="00562484" w:rsidP="0056248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İSG Politikası,</w:t>
            </w:r>
          </w:p>
          <w:p w:rsidR="00562484" w:rsidRPr="00131396" w:rsidRDefault="00562484" w:rsidP="0056248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İSG Hedefleri,</w:t>
            </w:r>
          </w:p>
          <w:p w:rsidR="009E6D3A" w:rsidRDefault="00562484" w:rsidP="00C40AB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Diğer Proseslerin hedefleriyle uyumlu olmak şartıyla “İSG Hedefleri” belirlemek ve bu hedeflere nasıl, hangi kaynaklarla ve hangi sürelerde ulaşacağını adım adım planlamalıdır. </w:t>
            </w:r>
          </w:p>
          <w:p w:rsidR="00562484" w:rsidRPr="00131396" w:rsidRDefault="00562484" w:rsidP="00C40AB7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Bu amaçla İSG </w:t>
            </w:r>
            <w:r w:rsidR="009E6D3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edefleri ve </w:t>
            </w:r>
            <w:r w:rsidR="009E6D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lanlama </w:t>
            </w:r>
            <w:r w:rsidR="009E6D3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ormu </w:t>
            </w:r>
            <w:r w:rsidR="009E6D3A">
              <w:rPr>
                <w:rFonts w:ascii="Times New Roman" w:hAnsi="Times New Roman" w:cs="Times New Roman"/>
                <w:sz w:val="24"/>
                <w:szCs w:val="24"/>
              </w:rPr>
              <w:t xml:space="preserve">(FR.026 ) 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kullanılacaktır.</w:t>
            </w:r>
          </w:p>
          <w:p w:rsidR="00C40AB7" w:rsidRDefault="00C40AB7" w:rsidP="00C40AB7">
            <w:pPr>
              <w:spacing w:after="0" w:line="240" w:lineRule="auto"/>
              <w:ind w:left="360" w:right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4" w:rsidRPr="00131396" w:rsidRDefault="00562484" w:rsidP="00BD32BC">
            <w:pPr>
              <w:spacing w:after="0" w:line="240" w:lineRule="auto"/>
              <w:ind w:left="360"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İSG hedefleri ve planlama yapılırken kaynak talep formu, DİF faaliyet formları planlanan çalışmaları uygulamak için kullanılacaktır.</w:t>
            </w:r>
            <w:r w:rsidR="000D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4C2">
              <w:rPr>
                <w:rFonts w:ascii="Times New Roman" w:hAnsi="Times New Roman" w:cs="Times New Roman"/>
                <w:sz w:val="24"/>
                <w:szCs w:val="24"/>
              </w:rPr>
              <w:t xml:space="preserve">Bağlam Risk Fırsat ve Etki Değerlendirme Planında yer alan HEDEF sütunundaki belirlenmiş düzeltici veya iyileştirici faaliyet hedefleri, ilgili </w:t>
            </w:r>
            <w:proofErr w:type="gramStart"/>
            <w:r w:rsidRPr="00B574C2">
              <w:rPr>
                <w:rFonts w:ascii="Times New Roman" w:hAnsi="Times New Roman" w:cs="Times New Roman"/>
                <w:sz w:val="24"/>
                <w:szCs w:val="24"/>
              </w:rPr>
              <w:t>proseslere</w:t>
            </w:r>
            <w:proofErr w:type="gramEnd"/>
            <w:r w:rsidRPr="00B574C2">
              <w:rPr>
                <w:rFonts w:ascii="Times New Roman" w:hAnsi="Times New Roman" w:cs="Times New Roman"/>
                <w:sz w:val="24"/>
                <w:szCs w:val="24"/>
              </w:rPr>
              <w:t xml:space="preserve"> İSG </w:t>
            </w:r>
            <w:r w:rsidR="00501870" w:rsidRPr="00B574C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574C2">
              <w:rPr>
                <w:rFonts w:ascii="Times New Roman" w:hAnsi="Times New Roman" w:cs="Times New Roman"/>
                <w:sz w:val="24"/>
                <w:szCs w:val="24"/>
              </w:rPr>
              <w:t>edefi olarak verilebilir.</w:t>
            </w:r>
            <w:r w:rsidR="000D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Bu hedefler, planlama ve bunlara ulaşma başarıları performans </w:t>
            </w:r>
            <w:proofErr w:type="gramStart"/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kriterleri</w:t>
            </w:r>
            <w:proofErr w:type="gramEnd"/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 ve izleme prosedürüne göre, performans kriterleri ve izleme tablosuyla kontrol edilecek ve olası başarısızlık nedenleri tespit edilip çözümler geliştirilecektir.</w:t>
            </w:r>
            <w:r w:rsidR="000D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Sonuçlar “Yıllık Gözden Geçirme” toplantılarına girdi olarak sunulacak ve YGG değerlendirmelerine göre başarısızlık nedenleri düzeltici veya iyileştirici faaliyetler kapsamında gerekli süreçlere aktarılarak çalışmalar başlatılacaktır.</w:t>
            </w:r>
          </w:p>
          <w:p w:rsidR="00C40AB7" w:rsidRDefault="00C40AB7" w:rsidP="00BD32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484" w:rsidRPr="00131396" w:rsidRDefault="00562484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Aşağıda belirtilen girdiler, </w:t>
            </w:r>
            <w:r w:rsidR="00C40AB7">
              <w:rPr>
                <w:rFonts w:ascii="Times New Roman" w:hAnsi="Times New Roman" w:cs="Times New Roman"/>
                <w:b/>
                <w:sz w:val="24"/>
                <w:szCs w:val="24"/>
              </w:rPr>
              <w:t>İSG</w:t>
            </w:r>
            <w:r w:rsidR="000D1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1870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131396">
              <w:rPr>
                <w:rFonts w:ascii="Times New Roman" w:hAnsi="Times New Roman" w:cs="Times New Roman"/>
                <w:b/>
                <w:sz w:val="24"/>
                <w:szCs w:val="24"/>
              </w:rPr>
              <w:t>edefleri olarak planlanabilirler.</w:t>
            </w:r>
          </w:p>
          <w:p w:rsidR="00562484" w:rsidRPr="00131396" w:rsidRDefault="00562484" w:rsidP="005624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Riskleri ortadan kaldırmak ya da istenmeyen etkileri azaltmak için planlanan aksiyonlar,</w:t>
            </w:r>
          </w:p>
          <w:p w:rsidR="00562484" w:rsidRPr="00131396" w:rsidRDefault="00562484" w:rsidP="005624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Süreçleri, girdi veya çıktıları müşteri memnuniyetini koruyacak şekilde gerçekleştirilen iyileştirmeler,</w:t>
            </w:r>
          </w:p>
          <w:p w:rsidR="00562484" w:rsidRPr="00131396" w:rsidRDefault="00562484" w:rsidP="005624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Performansı artırmaya yönelik girişimler,</w:t>
            </w:r>
          </w:p>
          <w:p w:rsidR="00562484" w:rsidRPr="00131396" w:rsidRDefault="00562484" w:rsidP="005624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İlgili tarafların ihtiyaç ve beklentilerini karşılayabilmek için yapılan çalışmalar</w:t>
            </w:r>
          </w:p>
          <w:p w:rsidR="00562484" w:rsidRPr="00131396" w:rsidRDefault="00562484" w:rsidP="005624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Mevcut işleyişin korunması (sürdürülebilirlik) amacıyla yapılacak faaliyetler.</w:t>
            </w:r>
          </w:p>
          <w:p w:rsidR="00562484" w:rsidRPr="00131396" w:rsidRDefault="00562484" w:rsidP="0056248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Düzeltici iyileştirici faaliyetler,</w:t>
            </w:r>
          </w:p>
          <w:p w:rsidR="00C40AB7" w:rsidRDefault="00562484" w:rsidP="00003579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BC">
              <w:rPr>
                <w:rFonts w:ascii="Times New Roman" w:hAnsi="Times New Roman" w:cs="Times New Roman"/>
                <w:sz w:val="24"/>
                <w:szCs w:val="24"/>
              </w:rPr>
              <w:t xml:space="preserve">Tüm sürekli iyileştirme ve geliştirme çalışmaları </w:t>
            </w:r>
            <w:r w:rsidR="00C40AB7" w:rsidRPr="00BD32BC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0D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B30" w:rsidRPr="00BD32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D32BC">
              <w:rPr>
                <w:rFonts w:ascii="Times New Roman" w:hAnsi="Times New Roman" w:cs="Times New Roman"/>
                <w:sz w:val="24"/>
                <w:szCs w:val="24"/>
              </w:rPr>
              <w:t>edefleri olarak ele alınabilir ve planlanabilirler.</w:t>
            </w:r>
          </w:p>
          <w:p w:rsidR="00BD32BC" w:rsidRPr="00BD32BC" w:rsidRDefault="00BD32BC" w:rsidP="00BD32BC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4" w:rsidRDefault="00562484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b/>
                <w:sz w:val="24"/>
                <w:szCs w:val="24"/>
              </w:rPr>
              <w:t>İSG Hedefleri ve Planlama Formunun Doldurulması</w:t>
            </w:r>
          </w:p>
          <w:p w:rsidR="00BD32BC" w:rsidRPr="00131396" w:rsidRDefault="00BD32BC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484" w:rsidRDefault="00562484" w:rsidP="00BD32B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Hedef sütununda ortaya konan İSG</w:t>
            </w:r>
            <w:r w:rsidR="00C40AB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edefi yazılacaktır.</w:t>
            </w:r>
            <w:r w:rsidR="000D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Mevcut durum, hedefe henüz ulaşmadığımız İSG </w:t>
            </w:r>
            <w:r w:rsidR="00C40AB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edefini ilk belirlediğimiz andaki durumu açıklayan ve bu hedefi neden belirlediğinizi</w:t>
            </w:r>
            <w:r w:rsidR="000D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gösteren değerlendirme alanıdır.</w:t>
            </w:r>
            <w:r w:rsidR="000D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Riskler alanına İSG </w:t>
            </w:r>
            <w:r w:rsidR="00C40AB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edefini gerçekleştirmek amacıyla yapılacak faaliyetler ve hedefe ulaşıldıktan sonraki olası risklerin kurumsal bilgi ve tecrübeye veya birtakım verilere bağlı olmak şartıyla değerlendirilerek açıklandığı bölümdür.</w:t>
            </w:r>
            <w:r w:rsidR="000D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Fırsatlar ise bu hedefin gerçekleştirilmesi durumunda elde edilecek kazanımları açıklar. Bu </w:t>
            </w:r>
            <w:r w:rsidR="00C40AB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edefi gerçekleştirdiğinizde kuru</w:t>
            </w:r>
            <w:r w:rsidR="0050187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a “Müşteri Odaklılık” çerçevesinde hangi katkıları sağlayacaksınız?</w:t>
            </w:r>
            <w:r w:rsidR="000D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Planlama alanında İSG </w:t>
            </w:r>
            <w:r w:rsidR="0050187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edeflerine nasıl ulaşılacağının kanıtlarını ihtiva eden bilgilerin belirtildiği alandır.</w:t>
            </w:r>
          </w:p>
          <w:p w:rsidR="00C40AB7" w:rsidRPr="00131396" w:rsidRDefault="00C40AB7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4" w:rsidRPr="00131396" w:rsidRDefault="00562484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hedefe ulaşmak amacıyla mevcut kaynaklarınız yeterli mi? </w:t>
            </w:r>
          </w:p>
          <w:p w:rsidR="00562484" w:rsidRDefault="00562484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Yeterliyse bu alana “Mevcut Kaynaklar Yeterlidir” yazılması, değilse kaynak talep formu açılarak bu bölümde belirtilmesi gerekmektedir.</w:t>
            </w:r>
            <w:r w:rsidR="000D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Kaynak talep edilmesi durumunda “Şu kaynaklar bana sağlanırsa, şu süre içerisinde şu kazanımları sağlayabilirim” açıklaması yapılmış demektir.</w:t>
            </w:r>
            <w:r w:rsidR="00003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 xml:space="preserve">Kaynaklar, personel, makine </w:t>
            </w:r>
            <w:proofErr w:type="gramStart"/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, eğitim, maddi kaynaklar, yazılım, donanım ya da yetki verilmesi gibi ek unsurları içerebilirler.</w:t>
            </w:r>
          </w:p>
          <w:p w:rsidR="00562484" w:rsidRPr="00131396" w:rsidRDefault="00562484" w:rsidP="0056248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84" w:rsidRDefault="00562484" w:rsidP="00562484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84">
              <w:rPr>
                <w:rFonts w:ascii="Times New Roman" w:hAnsi="Times New Roman" w:cs="Times New Roman"/>
                <w:b/>
                <w:sz w:val="24"/>
                <w:szCs w:val="24"/>
              </w:rPr>
              <w:t>İLGİLİ DOKÜMAN ve KAYITLAR</w:t>
            </w:r>
          </w:p>
          <w:p w:rsidR="00BD32BC" w:rsidRPr="00562484" w:rsidRDefault="00BD32BC" w:rsidP="00BD32BC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484" w:rsidRPr="00131396" w:rsidRDefault="00562484" w:rsidP="0056248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İSG Hedefleri ve Planlama Prosedürü</w:t>
            </w:r>
            <w:r w:rsidR="00053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2D74" w:rsidRPr="000537E1">
              <w:rPr>
                <w:rFonts w:ascii="Times New Roman" w:hAnsi="Times New Roman" w:cs="Times New Roman"/>
                <w:b/>
                <w:sz w:val="24"/>
                <w:szCs w:val="24"/>
              </w:rPr>
              <w:t>PR.005</w:t>
            </w:r>
          </w:p>
          <w:p w:rsidR="00562484" w:rsidRPr="000537E1" w:rsidRDefault="00562484" w:rsidP="0056248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96">
              <w:rPr>
                <w:rFonts w:ascii="Times New Roman" w:hAnsi="Times New Roman" w:cs="Times New Roman"/>
                <w:sz w:val="24"/>
                <w:szCs w:val="24"/>
              </w:rPr>
              <w:t>İSG Hedefleri ve Planlama Formu</w:t>
            </w:r>
            <w:r w:rsidR="000537E1" w:rsidRPr="000537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8786F" w:rsidRPr="000537E1">
              <w:rPr>
                <w:rFonts w:ascii="Times New Roman" w:hAnsi="Times New Roman" w:cs="Times New Roman"/>
                <w:b/>
                <w:sz w:val="24"/>
                <w:szCs w:val="24"/>
              </w:rPr>
              <w:t>FR.026</w:t>
            </w:r>
          </w:p>
          <w:p w:rsidR="00562484" w:rsidRDefault="00562484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484" w:rsidRDefault="00562484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B30" w:rsidRDefault="00180B30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B30" w:rsidRDefault="00180B30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B30" w:rsidRDefault="00180B30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BC" w:rsidRDefault="00BD32BC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BC" w:rsidRDefault="00BD32BC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BC" w:rsidRDefault="00BD32BC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BC" w:rsidRDefault="00BD32BC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BC" w:rsidRDefault="00BD32BC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BC" w:rsidRDefault="00BD32BC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BC" w:rsidRDefault="00BD32BC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BC" w:rsidRDefault="00BD32BC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BC" w:rsidRDefault="00BD32BC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2BC" w:rsidRDefault="00BD32BC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80B30" w:rsidRDefault="00180B30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B30" w:rsidRDefault="00180B30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B30" w:rsidRDefault="00180B30" w:rsidP="005624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4C2E" w:rsidRPr="00131396" w:rsidRDefault="00AC4C2E" w:rsidP="00562484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4C2E" w:rsidRPr="00131396" w:rsidSect="00DB3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579" w:rsidRDefault="00003579" w:rsidP="00DB3FF5">
      <w:pPr>
        <w:spacing w:after="0" w:line="240" w:lineRule="auto"/>
      </w:pPr>
      <w:r>
        <w:separator/>
      </w:r>
    </w:p>
  </w:endnote>
  <w:endnote w:type="continuationSeparator" w:id="1">
    <w:p w:rsidR="00003579" w:rsidRDefault="00003579" w:rsidP="00D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79" w:rsidRDefault="0000357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406"/>
    </w:tblGrid>
    <w:tr w:rsidR="00003579" w:rsidRPr="00AE2480" w:rsidTr="009E6D3A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003579" w:rsidRPr="00AE2480" w:rsidRDefault="00003579" w:rsidP="009E6D3A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003579" w:rsidRPr="00AE2480" w:rsidTr="009E6D3A">
      <w:trPr>
        <w:trHeight w:val="790"/>
      </w:trPr>
      <w:tc>
        <w:tcPr>
          <w:tcW w:w="5245" w:type="dxa"/>
        </w:tcPr>
        <w:p w:rsidR="00003579" w:rsidRPr="009D7BAD" w:rsidRDefault="00003579" w:rsidP="009E6D3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03579" w:rsidRPr="009D7BAD" w:rsidRDefault="00003579" w:rsidP="009E6D3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003579" w:rsidRPr="009D7BAD" w:rsidRDefault="00003579" w:rsidP="009E6D3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03579" w:rsidRPr="009D7BAD" w:rsidRDefault="00003579" w:rsidP="009E6D3A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003579" w:rsidRDefault="0000357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79" w:rsidRDefault="0000357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579" w:rsidRDefault="00003579" w:rsidP="00DB3FF5">
      <w:pPr>
        <w:spacing w:after="0" w:line="240" w:lineRule="auto"/>
      </w:pPr>
      <w:r>
        <w:separator/>
      </w:r>
    </w:p>
  </w:footnote>
  <w:footnote w:type="continuationSeparator" w:id="1">
    <w:p w:rsidR="00003579" w:rsidRDefault="00003579" w:rsidP="00DB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79" w:rsidRDefault="0000357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518"/>
      <w:gridCol w:w="1842"/>
      <w:gridCol w:w="2004"/>
    </w:tblGrid>
    <w:tr w:rsidR="00003579" w:rsidRPr="00910679" w:rsidTr="005543DA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003579" w:rsidRPr="004C4A80" w:rsidRDefault="00003579" w:rsidP="00C40AB7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0175" cy="1009650"/>
                <wp:effectExtent l="19050" t="0" r="9525" b="0"/>
                <wp:docPr id="8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Merge w:val="restart"/>
          <w:shd w:val="clear" w:color="auto" w:fill="ED7D31" w:themeFill="accent2"/>
          <w:vAlign w:val="center"/>
        </w:tcPr>
        <w:p w:rsidR="00003579" w:rsidRPr="00661580" w:rsidRDefault="00003579" w:rsidP="009E6D3A">
          <w:pPr>
            <w:spacing w:after="0"/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8"/>
              <w:lang w:val="de-DE"/>
            </w:rPr>
          </w:pPr>
          <w:r w:rsidRPr="00661580">
            <w:rPr>
              <w:rFonts w:ascii="Times New Roman" w:hAnsi="Times New Roman" w:cs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003579" w:rsidRPr="00470889" w:rsidRDefault="00003579" w:rsidP="009E6D3A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661580">
            <w:rPr>
              <w:rFonts w:ascii="Times New Roman" w:hAnsi="Times New Roman" w:cs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42" w:type="dxa"/>
          <w:shd w:val="clear" w:color="auto" w:fill="FFFFFF"/>
          <w:vAlign w:val="center"/>
        </w:tcPr>
        <w:p w:rsidR="00003579" w:rsidRPr="00C40AB7" w:rsidRDefault="00003579" w:rsidP="009E6D3A">
          <w:pPr>
            <w:rPr>
              <w:rFonts w:ascii="Times New Roman" w:hAnsi="Times New Roman"/>
              <w:b/>
              <w:bCs/>
            </w:rPr>
          </w:pPr>
          <w:r w:rsidRPr="00C40AB7">
            <w:rPr>
              <w:rFonts w:ascii="Times New Roman" w:hAnsi="Times New Roman"/>
              <w:b/>
            </w:rPr>
            <w:t>Yürürlük Tarihi</w:t>
          </w:r>
        </w:p>
      </w:tc>
      <w:tc>
        <w:tcPr>
          <w:tcW w:w="2004" w:type="dxa"/>
          <w:shd w:val="clear" w:color="auto" w:fill="FFFFFF"/>
          <w:vAlign w:val="center"/>
        </w:tcPr>
        <w:p w:rsidR="00003579" w:rsidRPr="00C40AB7" w:rsidRDefault="00003579" w:rsidP="00661580">
          <w:pPr>
            <w:rPr>
              <w:rFonts w:ascii="Times New Roman" w:hAnsi="Times New Roman"/>
              <w:b/>
              <w:bCs/>
            </w:rPr>
          </w:pPr>
          <w:r w:rsidRPr="00C40AB7">
            <w:rPr>
              <w:rFonts w:ascii="Times New Roman" w:hAnsi="Times New Roman"/>
              <w:b/>
              <w:bCs/>
            </w:rPr>
            <w:t>10.02.2021</w:t>
          </w:r>
        </w:p>
      </w:tc>
    </w:tr>
    <w:tr w:rsidR="00003579" w:rsidRPr="00910679" w:rsidTr="005543D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03579" w:rsidRPr="00A13C49" w:rsidRDefault="00003579" w:rsidP="009E6D3A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003579" w:rsidRPr="00D3002A" w:rsidRDefault="00003579" w:rsidP="009E6D3A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003579" w:rsidRPr="00C40AB7" w:rsidRDefault="00003579" w:rsidP="009E6D3A">
          <w:pPr>
            <w:pStyle w:val="Balk3"/>
            <w:rPr>
              <w:rFonts w:ascii="Times New Roman" w:hAnsi="Times New Roman"/>
              <w:sz w:val="22"/>
              <w:szCs w:val="22"/>
            </w:rPr>
          </w:pPr>
          <w:r w:rsidRPr="00C40AB7">
            <w:rPr>
              <w:rFonts w:ascii="Times New Roman" w:hAnsi="Times New Roman"/>
              <w:sz w:val="22"/>
              <w:szCs w:val="22"/>
            </w:rPr>
            <w:t>Doküman Kodu</w:t>
          </w:r>
        </w:p>
      </w:tc>
      <w:tc>
        <w:tcPr>
          <w:tcW w:w="2004" w:type="dxa"/>
          <w:shd w:val="clear" w:color="auto" w:fill="FFFFFF"/>
          <w:vAlign w:val="center"/>
        </w:tcPr>
        <w:p w:rsidR="00003579" w:rsidRPr="00C40AB7" w:rsidRDefault="00003579" w:rsidP="00661580">
          <w:pPr>
            <w:pStyle w:val="Balk3"/>
            <w:rPr>
              <w:rFonts w:ascii="Times New Roman" w:hAnsi="Times New Roman"/>
              <w:sz w:val="22"/>
              <w:szCs w:val="22"/>
            </w:rPr>
          </w:pPr>
          <w:proofErr w:type="gramStart"/>
          <w:r w:rsidRPr="00C40AB7">
            <w:rPr>
              <w:rFonts w:ascii="Times New Roman" w:hAnsi="Times New Roman"/>
              <w:sz w:val="22"/>
              <w:szCs w:val="22"/>
            </w:rPr>
            <w:t>99445787</w:t>
          </w:r>
          <w:proofErr w:type="gramEnd"/>
          <w:r w:rsidRPr="00C40AB7">
            <w:rPr>
              <w:rFonts w:ascii="Times New Roman" w:hAnsi="Times New Roman"/>
              <w:sz w:val="22"/>
              <w:szCs w:val="22"/>
            </w:rPr>
            <w:t>-PR.0</w:t>
          </w:r>
          <w:r>
            <w:rPr>
              <w:rFonts w:ascii="Times New Roman" w:hAnsi="Times New Roman"/>
              <w:sz w:val="22"/>
              <w:szCs w:val="22"/>
            </w:rPr>
            <w:t>0</w:t>
          </w:r>
          <w:r w:rsidRPr="00C40AB7">
            <w:rPr>
              <w:rFonts w:ascii="Times New Roman" w:hAnsi="Times New Roman"/>
              <w:sz w:val="22"/>
              <w:szCs w:val="22"/>
            </w:rPr>
            <w:t>5</w:t>
          </w:r>
        </w:p>
      </w:tc>
    </w:tr>
    <w:tr w:rsidR="00003579" w:rsidRPr="00910679" w:rsidTr="005543D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03579" w:rsidRPr="00A13C49" w:rsidRDefault="00003579" w:rsidP="009E6D3A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003579" w:rsidRPr="0007787B" w:rsidRDefault="00003579" w:rsidP="009E6D3A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003579" w:rsidRPr="00C40AB7" w:rsidRDefault="00003579" w:rsidP="009E6D3A">
          <w:pPr>
            <w:rPr>
              <w:rFonts w:ascii="Times New Roman" w:hAnsi="Times New Roman"/>
              <w:b/>
              <w:bCs/>
            </w:rPr>
          </w:pPr>
          <w:proofErr w:type="spellStart"/>
          <w:r w:rsidRPr="00C40AB7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C40AB7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2004" w:type="dxa"/>
          <w:shd w:val="clear" w:color="auto" w:fill="FFFFFF"/>
          <w:vAlign w:val="center"/>
        </w:tcPr>
        <w:p w:rsidR="00003579" w:rsidRPr="00C40AB7" w:rsidRDefault="00003579" w:rsidP="00661580">
          <w:pPr>
            <w:rPr>
              <w:rFonts w:ascii="Times New Roman" w:hAnsi="Times New Roman"/>
              <w:b/>
              <w:bCs/>
            </w:rPr>
          </w:pPr>
          <w:r w:rsidRPr="00C40AB7">
            <w:rPr>
              <w:rFonts w:ascii="Times New Roman" w:hAnsi="Times New Roman"/>
              <w:b/>
              <w:bCs/>
            </w:rPr>
            <w:t>00</w:t>
          </w:r>
        </w:p>
      </w:tc>
    </w:tr>
    <w:tr w:rsidR="00003579" w:rsidRPr="00910679" w:rsidTr="005543D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03579" w:rsidRPr="00A13C49" w:rsidRDefault="00003579" w:rsidP="009E6D3A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003579" w:rsidRPr="0007787B" w:rsidRDefault="00003579" w:rsidP="009E6D3A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003579" w:rsidRPr="00C40AB7" w:rsidRDefault="00003579" w:rsidP="009E6D3A">
          <w:pPr>
            <w:rPr>
              <w:rFonts w:ascii="Times New Roman" w:hAnsi="Times New Roman"/>
              <w:b/>
              <w:bCs/>
            </w:rPr>
          </w:pPr>
          <w:proofErr w:type="gramStart"/>
          <w:r w:rsidRPr="00C40AB7">
            <w:rPr>
              <w:rFonts w:ascii="Times New Roman" w:hAnsi="Times New Roman"/>
              <w:b/>
              <w:bCs/>
            </w:rPr>
            <w:t>Re.Tarihi</w:t>
          </w:r>
          <w:proofErr w:type="gramEnd"/>
        </w:p>
      </w:tc>
      <w:tc>
        <w:tcPr>
          <w:tcW w:w="2004" w:type="dxa"/>
          <w:shd w:val="clear" w:color="auto" w:fill="FFFFFF"/>
          <w:vAlign w:val="center"/>
        </w:tcPr>
        <w:p w:rsidR="00003579" w:rsidRPr="00C40AB7" w:rsidRDefault="00003579" w:rsidP="00661580">
          <w:pPr>
            <w:rPr>
              <w:rFonts w:ascii="Times New Roman" w:hAnsi="Times New Roman"/>
              <w:b/>
              <w:bCs/>
            </w:rPr>
          </w:pPr>
          <w:proofErr w:type="gramStart"/>
          <w:r w:rsidRPr="00C40AB7">
            <w:rPr>
              <w:rFonts w:ascii="Times New Roman" w:hAnsi="Times New Roman"/>
              <w:b/>
              <w:bCs/>
            </w:rPr>
            <w:t>….</w:t>
          </w:r>
          <w:proofErr w:type="gramEnd"/>
          <w:r w:rsidRPr="00C40AB7">
            <w:rPr>
              <w:rFonts w:ascii="Times New Roman" w:hAnsi="Times New Roman"/>
              <w:b/>
              <w:bCs/>
            </w:rPr>
            <w:t>/…./…..</w:t>
          </w:r>
        </w:p>
      </w:tc>
    </w:tr>
    <w:tr w:rsidR="00003579" w:rsidRPr="00910679" w:rsidTr="005543D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03579" w:rsidRPr="00A13C49" w:rsidRDefault="00003579" w:rsidP="009E6D3A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003579" w:rsidRPr="0007787B" w:rsidRDefault="00003579" w:rsidP="009E6D3A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003579" w:rsidRPr="00C40AB7" w:rsidRDefault="00003579" w:rsidP="009E6D3A">
          <w:pPr>
            <w:rPr>
              <w:rFonts w:ascii="Times New Roman" w:hAnsi="Times New Roman"/>
              <w:b/>
              <w:bCs/>
            </w:rPr>
          </w:pPr>
          <w:r w:rsidRPr="00C40AB7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2004" w:type="dxa"/>
          <w:shd w:val="clear" w:color="auto" w:fill="FFFFFF"/>
          <w:vAlign w:val="center"/>
        </w:tcPr>
        <w:p w:rsidR="00003579" w:rsidRPr="00C40AB7" w:rsidRDefault="00003579" w:rsidP="00C40AB7">
          <w:pPr>
            <w:ind w:left="601"/>
            <w:rPr>
              <w:rFonts w:ascii="Times New Roman" w:hAnsi="Times New Roman"/>
              <w:b/>
              <w:bCs/>
            </w:rPr>
          </w:pPr>
          <w:r w:rsidRPr="00C40AB7">
            <w:rPr>
              <w:rFonts w:ascii="Times New Roman" w:hAnsi="Times New Roman"/>
              <w:b/>
              <w:bCs/>
            </w:rPr>
            <w:fldChar w:fldCharType="begin"/>
          </w:r>
          <w:r w:rsidRPr="00C40AB7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C40AB7">
            <w:rPr>
              <w:rFonts w:ascii="Times New Roman" w:hAnsi="Times New Roman"/>
              <w:b/>
              <w:bCs/>
            </w:rPr>
            <w:fldChar w:fldCharType="separate"/>
          </w:r>
          <w:r w:rsidR="003441DF">
            <w:rPr>
              <w:rFonts w:ascii="Times New Roman" w:hAnsi="Times New Roman"/>
              <w:b/>
              <w:bCs/>
              <w:noProof/>
            </w:rPr>
            <w:t>1</w:t>
          </w:r>
          <w:r w:rsidRPr="00C40AB7">
            <w:rPr>
              <w:rFonts w:ascii="Times New Roman" w:hAnsi="Times New Roman"/>
              <w:b/>
              <w:bCs/>
            </w:rPr>
            <w:fldChar w:fldCharType="end"/>
          </w:r>
          <w:r w:rsidRPr="00C40AB7">
            <w:rPr>
              <w:rFonts w:ascii="Times New Roman" w:hAnsi="Times New Roman"/>
              <w:b/>
              <w:bCs/>
            </w:rPr>
            <w:t xml:space="preserve"> / </w:t>
          </w:r>
          <w:fldSimple w:instr=" NUMPAGES   \* MERGEFORMAT ">
            <w:r w:rsidR="003441DF" w:rsidRPr="003441DF">
              <w:rPr>
                <w:rFonts w:ascii="Times New Roman" w:hAnsi="Times New Roman"/>
                <w:b/>
                <w:bCs/>
                <w:noProof/>
              </w:rPr>
              <w:t>2</w:t>
            </w:r>
          </w:fldSimple>
        </w:p>
      </w:tc>
    </w:tr>
    <w:tr w:rsidR="00003579" w:rsidRPr="00BC733A" w:rsidTr="00661580">
      <w:trPr>
        <w:cantSplit/>
        <w:trHeight w:hRule="exact" w:val="715"/>
      </w:trPr>
      <w:tc>
        <w:tcPr>
          <w:tcW w:w="2287" w:type="dxa"/>
          <w:shd w:val="clear" w:color="auto" w:fill="FFFFFF"/>
          <w:vAlign w:val="center"/>
        </w:tcPr>
        <w:p w:rsidR="00003579" w:rsidRDefault="00003579" w:rsidP="009E6D3A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304925" cy="438150"/>
                <wp:effectExtent l="0" t="0" r="0" b="0"/>
                <wp:docPr id="9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003579" w:rsidRPr="005543DA" w:rsidRDefault="00003579" w:rsidP="009E6D3A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Cs w:val="24"/>
            </w:rPr>
          </w:pPr>
          <w:r w:rsidRPr="005543DA">
            <w:rPr>
              <w:rFonts w:ascii="Times New Roman" w:hAnsi="Times New Roman" w:cs="Times New Roman"/>
              <w:b/>
              <w:color w:val="0070C0"/>
              <w:sz w:val="24"/>
              <w:szCs w:val="24"/>
              <w:lang w:val="de-DE"/>
            </w:rPr>
            <w:t>İSG HEDEFLERİ</w:t>
          </w:r>
          <w:r w:rsidRPr="005543DA">
            <w:rPr>
              <w:rFonts w:ascii="Times New Roman" w:hAnsi="Times New Roman" w:cs="Times New Roman"/>
              <w:b/>
              <w:color w:val="0070C0"/>
              <w:sz w:val="24"/>
              <w:szCs w:val="28"/>
              <w:lang w:val="de-DE"/>
            </w:rPr>
            <w:t xml:space="preserve"> VE PLANLAMA PROSEDÜRÜ</w:t>
          </w:r>
        </w:p>
      </w:tc>
    </w:tr>
  </w:tbl>
  <w:p w:rsidR="00003579" w:rsidRDefault="0000357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79" w:rsidRDefault="0000357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486"/>
    <w:multiLevelType w:val="hybridMultilevel"/>
    <w:tmpl w:val="1DFEFE2C"/>
    <w:lvl w:ilvl="0" w:tplc="657A6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45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A4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C6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96C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DE5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C7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7EA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A2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70758D"/>
    <w:multiLevelType w:val="hybridMultilevel"/>
    <w:tmpl w:val="4FBC4710"/>
    <w:lvl w:ilvl="0" w:tplc="809C8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C2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0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D65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288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48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AC2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41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74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923732"/>
    <w:multiLevelType w:val="hybridMultilevel"/>
    <w:tmpl w:val="0EE25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359F3"/>
    <w:multiLevelType w:val="hybridMultilevel"/>
    <w:tmpl w:val="F0C0819A"/>
    <w:lvl w:ilvl="0" w:tplc="79BC8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226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89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C9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88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4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6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0E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A2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607C56"/>
    <w:multiLevelType w:val="hybridMultilevel"/>
    <w:tmpl w:val="8D78B192"/>
    <w:lvl w:ilvl="0" w:tplc="C948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8E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1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E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C03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82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46A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6A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A7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FD6646"/>
    <w:multiLevelType w:val="hybridMultilevel"/>
    <w:tmpl w:val="D2E63810"/>
    <w:lvl w:ilvl="0" w:tplc="3CD06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E2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C0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CB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800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F08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4C6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CF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48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C2357"/>
    <w:multiLevelType w:val="hybridMultilevel"/>
    <w:tmpl w:val="0644BC16"/>
    <w:lvl w:ilvl="0" w:tplc="20385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E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BCA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09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CE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C3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EB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A6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6756F61"/>
    <w:multiLevelType w:val="hybridMultilevel"/>
    <w:tmpl w:val="5A46B14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DB3FF5"/>
    <w:rsid w:val="00003579"/>
    <w:rsid w:val="0000531C"/>
    <w:rsid w:val="0002799B"/>
    <w:rsid w:val="000323B3"/>
    <w:rsid w:val="000537E1"/>
    <w:rsid w:val="00082BF3"/>
    <w:rsid w:val="000C52B1"/>
    <w:rsid w:val="000D1126"/>
    <w:rsid w:val="0011277F"/>
    <w:rsid w:val="00131396"/>
    <w:rsid w:val="00137CCC"/>
    <w:rsid w:val="00157874"/>
    <w:rsid w:val="0016230D"/>
    <w:rsid w:val="00180B30"/>
    <w:rsid w:val="001B01AD"/>
    <w:rsid w:val="001D6F90"/>
    <w:rsid w:val="002342CB"/>
    <w:rsid w:val="00265AFD"/>
    <w:rsid w:val="00283204"/>
    <w:rsid w:val="003441DF"/>
    <w:rsid w:val="00374CBC"/>
    <w:rsid w:val="003C65FD"/>
    <w:rsid w:val="003E0A71"/>
    <w:rsid w:val="003E5273"/>
    <w:rsid w:val="00431766"/>
    <w:rsid w:val="00454A4A"/>
    <w:rsid w:val="00454BAA"/>
    <w:rsid w:val="00463979"/>
    <w:rsid w:val="00493830"/>
    <w:rsid w:val="004A4246"/>
    <w:rsid w:val="00501870"/>
    <w:rsid w:val="0050542B"/>
    <w:rsid w:val="00545B81"/>
    <w:rsid w:val="005543DA"/>
    <w:rsid w:val="00562484"/>
    <w:rsid w:val="005829AA"/>
    <w:rsid w:val="005F1020"/>
    <w:rsid w:val="00611A86"/>
    <w:rsid w:val="00616755"/>
    <w:rsid w:val="0066016A"/>
    <w:rsid w:val="00661580"/>
    <w:rsid w:val="006730E8"/>
    <w:rsid w:val="00680076"/>
    <w:rsid w:val="006A3DA1"/>
    <w:rsid w:val="0078786F"/>
    <w:rsid w:val="008077FA"/>
    <w:rsid w:val="00827404"/>
    <w:rsid w:val="00853CAC"/>
    <w:rsid w:val="0087110F"/>
    <w:rsid w:val="009402F2"/>
    <w:rsid w:val="0096796B"/>
    <w:rsid w:val="009C566F"/>
    <w:rsid w:val="009E6D3A"/>
    <w:rsid w:val="00A72D74"/>
    <w:rsid w:val="00A906BF"/>
    <w:rsid w:val="00A9170A"/>
    <w:rsid w:val="00AC4C2E"/>
    <w:rsid w:val="00B017E4"/>
    <w:rsid w:val="00B1167B"/>
    <w:rsid w:val="00B321EB"/>
    <w:rsid w:val="00B574C2"/>
    <w:rsid w:val="00B9480C"/>
    <w:rsid w:val="00BC02A7"/>
    <w:rsid w:val="00BD32BC"/>
    <w:rsid w:val="00BD63C7"/>
    <w:rsid w:val="00C40AB7"/>
    <w:rsid w:val="00C51DB0"/>
    <w:rsid w:val="00CD14D6"/>
    <w:rsid w:val="00D4502C"/>
    <w:rsid w:val="00D513AE"/>
    <w:rsid w:val="00D51A76"/>
    <w:rsid w:val="00D830DE"/>
    <w:rsid w:val="00D95E5F"/>
    <w:rsid w:val="00DB3FF5"/>
    <w:rsid w:val="00E71AB9"/>
    <w:rsid w:val="00EE0494"/>
    <w:rsid w:val="00F16E3F"/>
    <w:rsid w:val="00F17A15"/>
    <w:rsid w:val="00FB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B9"/>
  </w:style>
  <w:style w:type="paragraph" w:styleId="Balk3">
    <w:name w:val="heading 3"/>
    <w:basedOn w:val="Normal"/>
    <w:next w:val="Normal"/>
    <w:link w:val="Balk3Char"/>
    <w:qFormat/>
    <w:rsid w:val="009C566F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39"/>
    <w:rsid w:val="00DB3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  <w:style w:type="character" w:customStyle="1" w:styleId="Balk3Char">
    <w:name w:val="Başlık 3 Char"/>
    <w:basedOn w:val="VarsaylanParagrafYazTipi"/>
    <w:link w:val="Balk3"/>
    <w:rsid w:val="009C566F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1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7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0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tk34756</cp:lastModifiedBy>
  <cp:revision>46</cp:revision>
  <cp:lastPrinted>2021-03-02T12:59:00Z</cp:lastPrinted>
  <dcterms:created xsi:type="dcterms:W3CDTF">2018-01-23T09:39:00Z</dcterms:created>
  <dcterms:modified xsi:type="dcterms:W3CDTF">2022-01-26T11:57:00Z</dcterms:modified>
</cp:coreProperties>
</file>