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C6" w:rsidRDefault="00FD26C6" w:rsidP="001C42F6">
      <w:pPr>
        <w:spacing w:after="0" w:line="240" w:lineRule="auto"/>
        <w:jc w:val="both"/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2"/>
      </w:tblGrid>
      <w:tr w:rsidR="00FD26C6" w:rsidTr="002123D0">
        <w:trPr>
          <w:trHeight w:val="11646"/>
        </w:trPr>
        <w:tc>
          <w:tcPr>
            <w:tcW w:w="10632" w:type="dxa"/>
          </w:tcPr>
          <w:p w:rsidR="00FD26C6" w:rsidRDefault="00CF2943" w:rsidP="001C42F6">
            <w:pPr>
              <w:pStyle w:val="ListeParagraf"/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AMAÇ</w:t>
            </w:r>
          </w:p>
          <w:p w:rsidR="00226569" w:rsidRPr="00FD26C6" w:rsidRDefault="00226569" w:rsidP="00226569">
            <w:pPr>
              <w:pStyle w:val="ListeParagraf"/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6A4FBA" w:rsidRDefault="001C42F6" w:rsidP="001C42F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D26C6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Değişim Yönetimi Prosedürünün </w:t>
            </w:r>
            <w:r w:rsidR="00DD041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FD26C6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>macı;</w:t>
            </w:r>
          </w:p>
          <w:p w:rsidR="00226569" w:rsidRPr="00226569" w:rsidRDefault="00226569" w:rsidP="001C42F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6C6" w:rsidRPr="00252F63" w:rsidRDefault="00CF2943" w:rsidP="0044207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TS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ISO 45001:2018İSG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önetim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istemlerinin iyileştirilmesi, (</w:t>
            </w:r>
            <w:proofErr w:type="spellStart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dokümante</w:t>
            </w:r>
            <w:proofErr w:type="spellEnd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edilmiş bilginin </w:t>
            </w:r>
            <w:proofErr w:type="gramStart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revizyonu</w:t>
            </w:r>
            <w:proofErr w:type="gramEnd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26C6" w:rsidRPr="00252F63" w:rsidRDefault="00CF2943" w:rsidP="0044207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TS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ISO 45001:2018 İSG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önetim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istemlerinde görülecek olası problemlerin giderilmesi, (</w:t>
            </w:r>
            <w:proofErr w:type="spellStart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dokümante</w:t>
            </w:r>
            <w:proofErr w:type="spellEnd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edilmiş bilginin </w:t>
            </w:r>
            <w:proofErr w:type="gramStart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revizyonu</w:t>
            </w:r>
            <w:proofErr w:type="gramEnd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26C6" w:rsidRPr="00252F63" w:rsidRDefault="00FD26C6" w:rsidP="0044207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Kuru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süreçlerinde (</w:t>
            </w:r>
            <w:proofErr w:type="gramStart"/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departmanlarında</w:t>
            </w:r>
            <w:proofErr w:type="gramEnd"/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) görülecek olumsuz durumların giderilmesi ya da iyileştirilmesi,</w:t>
            </w:r>
          </w:p>
          <w:p w:rsidR="00FD26C6" w:rsidRPr="00252F63" w:rsidRDefault="00FD26C6" w:rsidP="0044207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Müşteri, çalışan memnuniyetini olumlu etkileyecek geliştirmelerin planlanması veya müşteri, çalışan memnuniyetinin olumsuz yönde etkileyecek sonuçların önlenmesi,</w:t>
            </w:r>
          </w:p>
          <w:p w:rsidR="00FD26C6" w:rsidRPr="00252F63" w:rsidRDefault="00FD26C6" w:rsidP="0044207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Yapılacak 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eğişimlerin planlı, kontrollü ve izlenerek gerçekleştirilmesinin, yapılacak 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eğişimlerin duyurulmasının, anlaşılmasının sağlanarak entegrasyonsüreçlerindeyönetim sistemlerinin bütünlüğünün korunmasının sağlanmasını</w:t>
            </w:r>
          </w:p>
          <w:p w:rsidR="00CF2943" w:rsidRDefault="00FD26C6" w:rsidP="0044207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Liderlik ve sürekli iyileştirmenin teşvik edilmesini sağlamak amacıyla; olası problemlerin önceden tespit edilebilmesi amacıyla risk temelli düşünmenin, delile dayalı karar verme, sürekli iyileştirmede katılımın sağlanmasıdır.</w:t>
            </w:r>
          </w:p>
          <w:p w:rsidR="00226569" w:rsidRPr="00226569" w:rsidRDefault="00226569" w:rsidP="00226569">
            <w:pPr>
              <w:pStyle w:val="ListeParagraf"/>
              <w:spacing w:after="0" w:line="240" w:lineRule="auto"/>
              <w:ind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2F6" w:rsidRPr="001C42F6" w:rsidRDefault="00FD26C6" w:rsidP="0044207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2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b/>
                <w:sz w:val="24"/>
                <w:szCs w:val="24"/>
              </w:rPr>
              <w:t>KAPSAM</w:t>
            </w:r>
          </w:p>
          <w:p w:rsidR="00CF2943" w:rsidRDefault="0092570F" w:rsidP="0092570F">
            <w:pPr>
              <w:spacing w:after="0" w:line="240" w:lineRule="auto"/>
              <w:ind w:left="720"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İSG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Değişim Yönetimi Prosedürü; Üst Yönetim ve 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 xml:space="preserve">İSG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Yönetim Sistemi başta olmak üzere </w:t>
            </w:r>
            <w:r w:rsidR="00990A92">
              <w:rPr>
                <w:rFonts w:ascii="Times New Roman" w:hAnsi="Times New Roman" w:cs="Times New Roman"/>
                <w:sz w:val="24"/>
                <w:szCs w:val="24"/>
              </w:rPr>
              <w:t xml:space="preserve">Genel Müdürlüğün tüm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süreçlerini kapsamaktadır.</w:t>
            </w:r>
          </w:p>
          <w:p w:rsidR="00226569" w:rsidRPr="00252F63" w:rsidRDefault="00226569" w:rsidP="00442072">
            <w:pPr>
              <w:spacing w:after="0" w:line="240" w:lineRule="auto"/>
              <w:ind w:left="360"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6C6" w:rsidRPr="00252F63" w:rsidRDefault="00FD26C6" w:rsidP="0044207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2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b/>
                <w:sz w:val="24"/>
                <w:szCs w:val="24"/>
              </w:rPr>
              <w:t>SORUMLULUK VE YETKİ</w:t>
            </w:r>
          </w:p>
          <w:p w:rsidR="00CF2943" w:rsidRDefault="001C42F6" w:rsidP="00442072">
            <w:pPr>
              <w:spacing w:after="0" w:line="240" w:lineRule="auto"/>
              <w:ind w:left="360"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Liderlik ve 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İSG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FB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olitikası çerçevesinde, </w:t>
            </w:r>
            <w:r w:rsidR="006A4FBA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  <w:r w:rsidR="006A4FB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önetim olmak üzere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r w:rsidR="006A4FBA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F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orumluları bu </w:t>
            </w:r>
            <w:proofErr w:type="gramStart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prosedürün</w:t>
            </w:r>
            <w:proofErr w:type="gramEnd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uygulanmasından sorumludur.</w:t>
            </w:r>
          </w:p>
          <w:p w:rsidR="00226569" w:rsidRPr="00252F63" w:rsidRDefault="00226569" w:rsidP="00442072">
            <w:pPr>
              <w:spacing w:after="0" w:line="240" w:lineRule="auto"/>
              <w:ind w:left="360"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6C6" w:rsidRPr="00252F63" w:rsidRDefault="00FD26C6" w:rsidP="0044207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2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b/>
                <w:sz w:val="24"/>
                <w:szCs w:val="24"/>
              </w:rPr>
              <w:t>İLETİŞİM</w:t>
            </w:r>
          </w:p>
          <w:p w:rsidR="008107F3" w:rsidRDefault="0092570F" w:rsidP="00226569">
            <w:pPr>
              <w:spacing w:after="0" w:line="240" w:lineRule="auto"/>
              <w:ind w:left="214"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Vurgu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</w:t>
            </w:r>
            <w:r w:rsidR="00CF2943">
              <w:rPr>
                <w:rStyle w:val="Vurgu"/>
                <w:rFonts w:ascii="Times New Roman" w:hAnsi="Times New Roman" w:cs="Times New Roman"/>
                <w:i w:val="0"/>
                <w:sz w:val="24"/>
                <w:szCs w:val="24"/>
              </w:rPr>
              <w:t>Kurumumuzun h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erhangi bir sürecinde yapılacak </w:t>
            </w:r>
            <w:r w:rsidR="008E3FB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eğişimlerin, 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İSG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Yö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netim 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istem şartlarını ve 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kurumumuz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süreçlerini etkilemeden </w:t>
            </w:r>
            <w:proofErr w:type="gramStart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entegre olabilmesi</w:t>
            </w:r>
            <w:proofErr w:type="gramEnd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amacıyla iletişim metodu </w:t>
            </w:r>
            <w:r w:rsidR="00DD041A">
              <w:rPr>
                <w:rFonts w:ascii="Times New Roman" w:hAnsi="Times New Roman" w:cs="Times New Roman"/>
                <w:sz w:val="24"/>
                <w:szCs w:val="24"/>
              </w:rPr>
              <w:t>e-m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ail olarak kullanılmaktadır.</w:t>
            </w:r>
            <w:r w:rsidR="001C42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Değişim planlama sürecinde, risk analiz ekibi gerekli riskleri önceden </w:t>
            </w:r>
            <w:r w:rsidR="00FD26C6" w:rsidRPr="00252F63">
              <w:rPr>
                <w:rFonts w:ascii="Times New Roman" w:hAnsi="Times New Roman" w:cs="Times New Roman"/>
                <w:b/>
                <w:sz w:val="24"/>
                <w:szCs w:val="24"/>
              </w:rPr>
              <w:t>“Risk Temelli Düşünme”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şartlarına uygun şekilde belirleyecektir.</w:t>
            </w:r>
            <w:r w:rsidR="001C42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İSG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Yönetim Sorumlusu, “Değişim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İzleme ve Entegrasyon Planlarını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”AYLIK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olarak </w:t>
            </w:r>
            <w:r w:rsidR="00DD041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041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osta ile </w:t>
            </w:r>
            <w:r w:rsidR="006A4FBA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F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orumlularıyla paylaşmaktadır.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Yapılacak tüm </w:t>
            </w:r>
            <w:r w:rsidR="008E3FB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eğişimler </w:t>
            </w:r>
            <w:proofErr w:type="gramStart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entegrasyonun</w:t>
            </w:r>
            <w:proofErr w:type="gramEnd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tam ve eksiksiz olabilmesi amacıyla uygulama </w:t>
            </w:r>
            <w:r w:rsidR="006A4FBA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nde açıklanmıştır.</w:t>
            </w:r>
          </w:p>
          <w:p w:rsidR="00226569" w:rsidRPr="00252F63" w:rsidRDefault="00226569" w:rsidP="00226569">
            <w:pPr>
              <w:spacing w:after="0" w:line="240" w:lineRule="auto"/>
              <w:ind w:left="214"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6C6" w:rsidRPr="00226569" w:rsidRDefault="00FD26C6" w:rsidP="0022656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2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569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  <w:p w:rsidR="00FD26C6" w:rsidRDefault="0092570F" w:rsidP="00442072">
            <w:pPr>
              <w:spacing w:after="0" w:line="240" w:lineRule="auto"/>
              <w:ind w:left="360"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Tüm Değişimler ilk olarak “Değişim Talep Formunun” doldurulmasıyla </w:t>
            </w:r>
            <w:proofErr w:type="gramStart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başlar.Değişim</w:t>
            </w:r>
            <w:proofErr w:type="gramEnd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41A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lep </w:t>
            </w:r>
            <w:r w:rsidR="00DD041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ormu</w:t>
            </w:r>
            <w:r w:rsidR="00B95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6C6" w:rsidRPr="002123D0" w:rsidRDefault="00CF2943" w:rsidP="00442072">
            <w:pPr>
              <w:spacing w:after="0" w:line="240" w:lineRule="auto"/>
              <w:ind w:left="781" w:right="2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3D0">
              <w:rPr>
                <w:rFonts w:ascii="Times New Roman" w:hAnsi="Times New Roman" w:cs="Times New Roman"/>
                <w:b/>
                <w:sz w:val="24"/>
                <w:szCs w:val="24"/>
              </w:rPr>
              <w:t>Kurumumuz</w:t>
            </w:r>
            <w:r w:rsidR="00FD26C6" w:rsidRPr="00212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 </w:t>
            </w:r>
            <w:r w:rsidR="00DD041A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FD26C6" w:rsidRPr="002123D0">
              <w:rPr>
                <w:rFonts w:ascii="Times New Roman" w:hAnsi="Times New Roman" w:cs="Times New Roman"/>
                <w:b/>
                <w:sz w:val="24"/>
                <w:szCs w:val="24"/>
              </w:rPr>
              <w:t>lası</w:t>
            </w:r>
            <w:r w:rsidR="00925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26C6" w:rsidRPr="00212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Değişim </w:t>
            </w:r>
            <w:r w:rsidR="00DD041A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FD26C6" w:rsidRPr="002123D0">
              <w:rPr>
                <w:rFonts w:ascii="Times New Roman" w:hAnsi="Times New Roman" w:cs="Times New Roman"/>
                <w:b/>
                <w:sz w:val="24"/>
                <w:szCs w:val="24"/>
              </w:rPr>
              <w:t>htiyaçları;</w:t>
            </w:r>
          </w:p>
          <w:p w:rsidR="00FD26C6" w:rsidRPr="00252F63" w:rsidRDefault="00FD26C6" w:rsidP="004420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Düzeltici Faaliyetler,</w:t>
            </w:r>
          </w:p>
          <w:p w:rsidR="00FD26C6" w:rsidRPr="00252F63" w:rsidRDefault="00FD26C6" w:rsidP="004420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İyileştirme Faaliyetleri,</w:t>
            </w:r>
          </w:p>
          <w:p w:rsidR="00FD26C6" w:rsidRPr="00252F63" w:rsidRDefault="00FD26C6" w:rsidP="001C42F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İç veya Dış Tetkikler,</w:t>
            </w:r>
          </w:p>
          <w:p w:rsidR="00FD26C6" w:rsidRPr="00252F63" w:rsidRDefault="00FD26C6" w:rsidP="001C42F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Kurumsal Tecrübe,</w:t>
            </w:r>
          </w:p>
          <w:p w:rsidR="00FD26C6" w:rsidRPr="00252F63" w:rsidRDefault="00FD26C6" w:rsidP="001C42F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Personel Talep Formu,</w:t>
            </w:r>
          </w:p>
          <w:p w:rsidR="00FD26C6" w:rsidRPr="00252F63" w:rsidRDefault="00CF2943" w:rsidP="001C42F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İSG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Hedefleri,</w:t>
            </w:r>
          </w:p>
          <w:p w:rsidR="00FD26C6" w:rsidRPr="00252F63" w:rsidRDefault="00FD26C6" w:rsidP="001C42F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Risk Aksiyon Belirleme Süreci,</w:t>
            </w:r>
          </w:p>
          <w:p w:rsidR="00FD26C6" w:rsidRPr="00252F63" w:rsidRDefault="00FD26C6" w:rsidP="001C42F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Müşteri </w:t>
            </w:r>
            <w:proofErr w:type="gramStart"/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Şikayetleri</w:t>
            </w:r>
            <w:proofErr w:type="gramEnd"/>
            <w:r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veya geri bildirimleri,</w:t>
            </w:r>
          </w:p>
          <w:p w:rsidR="00FD26C6" w:rsidRPr="00252F63" w:rsidRDefault="00FD26C6" w:rsidP="001C42F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Personel geri bildirimleri,</w:t>
            </w:r>
          </w:p>
          <w:p w:rsidR="00FD26C6" w:rsidRPr="00252F63" w:rsidRDefault="00FD26C6" w:rsidP="001C42F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İş güvenliği etkenleri,</w:t>
            </w:r>
          </w:p>
          <w:p w:rsidR="00FD26C6" w:rsidRPr="00252F63" w:rsidRDefault="00FD26C6" w:rsidP="001C42F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Çevresel etkenler ve değerler,</w:t>
            </w:r>
          </w:p>
          <w:p w:rsidR="00FD26C6" w:rsidRPr="00252F63" w:rsidRDefault="00FD26C6" w:rsidP="001C42F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Haftalık, Aylık toplantılar,</w:t>
            </w:r>
          </w:p>
          <w:p w:rsidR="00FD26C6" w:rsidRPr="00252F63" w:rsidRDefault="00FD26C6" w:rsidP="001C42F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Mevzuatlarda (Dış Kaynaklı Doküman) yapılan zorunlu 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eğişimler,</w:t>
            </w:r>
          </w:p>
          <w:p w:rsidR="00FD26C6" w:rsidRDefault="00FD26C6" w:rsidP="001C42F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YGG toplantı kararları sonucunda ortaya çıkabilir.</w:t>
            </w:r>
          </w:p>
          <w:p w:rsidR="00226569" w:rsidRDefault="00226569" w:rsidP="00226569">
            <w:pPr>
              <w:pStyle w:val="ListeParagraf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2F6" w:rsidRDefault="001C42F6" w:rsidP="00226569">
            <w:pPr>
              <w:spacing w:after="0" w:line="240" w:lineRule="auto"/>
              <w:ind w:left="214" w:right="21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Değişim ihtiyaçları yılda en az bir kez Yönetim Gözden Geçirme toplantısında veya ACİL Değişim gerektiren durumlarda </w:t>
            </w:r>
            <w:r w:rsidR="006A4FBA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sorumlularının katılımıyla gerçekleşecek toplantılarda görüşülerek, </w:t>
            </w:r>
            <w:r w:rsidR="00FD26C6" w:rsidRPr="0092570F">
              <w:rPr>
                <w:rFonts w:ascii="Times New Roman" w:hAnsi="Times New Roman" w:cs="Times New Roman"/>
                <w:b/>
                <w:sz w:val="24"/>
                <w:szCs w:val="24"/>
              </w:rPr>
              <w:t>“Değişim İzleme ve Entegrasyon Planı</w:t>
            </w:r>
            <w:r w:rsidR="00990A92" w:rsidRPr="00925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PL.010</w:t>
            </w:r>
            <w:r w:rsidR="00FD26C6" w:rsidRPr="0092570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dokümanıyla kayıt altına alınır.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Değişimlerin </w:t>
            </w:r>
            <w:r w:rsidR="00990A9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urumumuz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İSG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Yönetim Sistemi bütünlüğünü olumsuz etkilememesi amacıyla, Değişim talep formuyla 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İSG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önetim </w:t>
            </w:r>
            <w:r w:rsidR="008E3FB5">
              <w:rPr>
                <w:rFonts w:ascii="Times New Roman" w:hAnsi="Times New Roman" w:cs="Times New Roman"/>
                <w:sz w:val="24"/>
                <w:szCs w:val="24"/>
              </w:rPr>
              <w:t>Temsilcisi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tarafından onaylanarak güncellenen Değişim </w:t>
            </w:r>
            <w:r w:rsidR="00DD041A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zleme ve </w:t>
            </w:r>
            <w:r w:rsidR="00DD041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ntegrasyon </w:t>
            </w:r>
            <w:r w:rsidR="00DD041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lanı, iletişim matrisinde belirtilen periyod ve iletişim metoduyla tüm </w:t>
            </w:r>
            <w:r w:rsidR="006A4FBA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26569">
              <w:rPr>
                <w:rFonts w:ascii="Times New Roman" w:hAnsi="Times New Roman" w:cs="Times New Roman"/>
                <w:sz w:val="24"/>
                <w:szCs w:val="24"/>
              </w:rPr>
              <w:t>orumlularına duyurulur.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Planlanan Değişimlerin boyutlarına göre 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İSG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önetim </w:t>
            </w:r>
            <w:r w:rsidR="008E3FB5">
              <w:rPr>
                <w:rFonts w:ascii="Times New Roman" w:hAnsi="Times New Roman" w:cs="Times New Roman"/>
                <w:sz w:val="24"/>
                <w:szCs w:val="24"/>
              </w:rPr>
              <w:t>Temsilcisi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liderliği ve onayıyla değişikliği gerçekleştirmek üzere ilgili </w:t>
            </w:r>
            <w:r w:rsidR="006A4FBA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sorumlu veya yetkililerinden oluşan, Değişim doğrulama, izleme ve onay ekibi </w:t>
            </w:r>
            <w:r w:rsidR="00FD26C6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Değişim İzleme ve Entegrasyon Planına </w:t>
            </w:r>
            <w:r w:rsidR="00990A92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>PL.0</w:t>
            </w:r>
            <w:r w:rsidR="00925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işlenerek tüm </w:t>
            </w:r>
            <w:r w:rsidR="006A4FBA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lere e-mail metoduyla bilgi verilir.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Değişim İzleme ve Entegrasyon sürecinden olumsuz etkileyeceğini düşünen veya planlanan değişikliğin daha iyi olmasını sağlayacak öneriye sahip </w:t>
            </w:r>
            <w:r w:rsidR="006A4FBA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orumluları, </w:t>
            </w:r>
            <w:r w:rsidR="00FD26C6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>Değişi</w:t>
            </w:r>
            <w:r w:rsidR="0092570F">
              <w:rPr>
                <w:rFonts w:ascii="Times New Roman" w:hAnsi="Times New Roman" w:cs="Times New Roman"/>
                <w:b/>
                <w:sz w:val="24"/>
                <w:szCs w:val="24"/>
              </w:rPr>
              <w:t>klik</w:t>
            </w:r>
            <w:r w:rsidR="00FD26C6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0A92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FD26C6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alep </w:t>
            </w:r>
            <w:r w:rsidR="00990A92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FD26C6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ormunu </w:t>
            </w:r>
            <w:r w:rsidR="00990A92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>FR.019</w:t>
            </w:r>
            <w:r w:rsidR="00925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doldurarak 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İSG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önetim </w:t>
            </w:r>
            <w:r w:rsidR="008E3FB5">
              <w:rPr>
                <w:rFonts w:ascii="Times New Roman" w:hAnsi="Times New Roman" w:cs="Times New Roman"/>
                <w:sz w:val="24"/>
                <w:szCs w:val="24"/>
              </w:rPr>
              <w:t>Temsilcisine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iletmelidirler.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İSG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Yönetim 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orumlusu, gelen talepler doğrultusunda olası riskleri engellemek adına, gerekli gördüğünde </w:t>
            </w:r>
            <w:r w:rsidR="00FD26C6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YGG </w:t>
            </w:r>
            <w:r w:rsidR="00DD041A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FD26C6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oplantı </w:t>
            </w:r>
            <w:r w:rsidR="00DD041A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FD26C6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uyuru </w:t>
            </w:r>
            <w:r w:rsidR="00DD041A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FD26C6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ormu </w:t>
            </w:r>
            <w:r w:rsidR="00DD041A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>FR.015</w:t>
            </w:r>
            <w:r w:rsidR="00925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ve diğer YGG dokümanlarını kullanarak acil toplantı düzenleyebilir.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Değişim izleme ve </w:t>
            </w:r>
            <w:proofErr w:type="gramStart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entegrasyon</w:t>
            </w:r>
            <w:proofErr w:type="gramEnd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planında yer alan ve onaylanan Değişimler, Değişim </w:t>
            </w:r>
            <w:r w:rsidR="00DD041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nay listesine eklendiğinde doğrulanmış ve onaylanmış kabul edilir. Bu 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amaç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FD26C6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>Değişi</w:t>
            </w:r>
            <w:r w:rsidR="0092570F">
              <w:rPr>
                <w:rFonts w:ascii="Times New Roman" w:hAnsi="Times New Roman" w:cs="Times New Roman"/>
                <w:b/>
                <w:sz w:val="24"/>
                <w:szCs w:val="24"/>
              </w:rPr>
              <w:t>klik</w:t>
            </w:r>
            <w:r w:rsidR="00FD26C6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23D0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FD26C6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nay </w:t>
            </w:r>
            <w:r w:rsidR="002123D0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820E04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istesi </w:t>
            </w:r>
            <w:r w:rsidR="00E350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D041A" w:rsidRPr="00DD041A">
              <w:rPr>
                <w:rFonts w:ascii="Times New Roman" w:hAnsi="Times New Roman" w:cs="Times New Roman"/>
                <w:b/>
                <w:sz w:val="24"/>
                <w:szCs w:val="24"/>
              </w:rPr>
              <w:t>LS.02</w:t>
            </w:r>
            <w:r w:rsidR="00820E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Değişim </w:t>
            </w:r>
            <w:r w:rsidR="00DD041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kibinin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 xml:space="preserve"> (İSG Birimi)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bilgisinde, 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İSG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önetim </w:t>
            </w:r>
            <w:r w:rsidR="008E3FB5">
              <w:rPr>
                <w:rFonts w:ascii="Times New Roman" w:hAnsi="Times New Roman" w:cs="Times New Roman"/>
                <w:sz w:val="24"/>
                <w:szCs w:val="24"/>
              </w:rPr>
              <w:t>Temsilcisi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 tarafından onaylanmaktadır.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Değişim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Ekibi (İSG Birimi)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, planlanan her değişikliğin gerçekleştirilmesinden, doğrulanmasından ve izlenmesinden sorumlu olmak üzere, değişikliğin yapılacağı </w:t>
            </w:r>
            <w:r w:rsidR="006A4FBA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orumluları </w:t>
            </w:r>
            <w:proofErr w:type="gramStart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, Değişim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en doğrudan veya dolaylı etkilenebilecek </w:t>
            </w:r>
            <w:r w:rsidR="006A4FBA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orumlularından, </w:t>
            </w:r>
            <w:r w:rsidR="00CF2943">
              <w:rPr>
                <w:rFonts w:ascii="Times New Roman" w:hAnsi="Times New Roman" w:cs="Times New Roman"/>
                <w:sz w:val="24"/>
                <w:szCs w:val="24"/>
              </w:rPr>
              <w:t>İSG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önetim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D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orumlusu tarafından seçilerek, Değişim </w:t>
            </w:r>
            <w:r w:rsidR="00820E04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zleme ve </w:t>
            </w:r>
            <w:r w:rsidR="00820E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 xml:space="preserve">ntegrasyon </w:t>
            </w:r>
            <w:r w:rsidR="00820E0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26C6" w:rsidRPr="00252F63">
              <w:rPr>
                <w:rFonts w:ascii="Times New Roman" w:hAnsi="Times New Roman" w:cs="Times New Roman"/>
                <w:sz w:val="24"/>
                <w:szCs w:val="24"/>
              </w:rPr>
              <w:t>lanında “Değişim Ekibi” alanında belirtilir.</w:t>
            </w:r>
          </w:p>
          <w:p w:rsidR="002123D0" w:rsidRDefault="002123D0" w:rsidP="002123D0">
            <w:pPr>
              <w:spacing w:after="0" w:line="240" w:lineRule="auto"/>
              <w:ind w:left="78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2F6" w:rsidRPr="001C42F6" w:rsidRDefault="00FD26C6" w:rsidP="001C42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b/>
                <w:sz w:val="24"/>
                <w:szCs w:val="24"/>
              </w:rPr>
              <w:t>İLGİLİ DOKÜMAN ve KAYITLAR</w:t>
            </w:r>
          </w:p>
          <w:p w:rsidR="00FD26C6" w:rsidRPr="004A5BE6" w:rsidRDefault="00FD26C6" w:rsidP="001C42F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Değişim İzleme ve Entegrasyon Planı</w:t>
            </w:r>
            <w:r w:rsidR="00734D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4DAD" w:rsidRPr="004A5BE6">
              <w:rPr>
                <w:rFonts w:ascii="Times New Roman" w:hAnsi="Times New Roman" w:cs="Times New Roman"/>
                <w:b/>
                <w:sz w:val="24"/>
                <w:szCs w:val="24"/>
              </w:rPr>
              <w:t>PL.0</w:t>
            </w:r>
            <w:r w:rsidR="0092570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FD26C6" w:rsidRPr="004A5BE6" w:rsidRDefault="00FD26C6" w:rsidP="001C42F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Değişi</w:t>
            </w:r>
            <w:r w:rsidR="00734DAD">
              <w:rPr>
                <w:rFonts w:ascii="Times New Roman" w:hAnsi="Times New Roman" w:cs="Times New Roman"/>
                <w:sz w:val="24"/>
                <w:szCs w:val="24"/>
              </w:rPr>
              <w:t xml:space="preserve">klik </w:t>
            </w: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Talep Formu</w:t>
            </w:r>
            <w:r w:rsidR="00734DA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34DAD" w:rsidRPr="004A5BE6">
              <w:rPr>
                <w:rFonts w:ascii="Times New Roman" w:hAnsi="Times New Roman" w:cs="Times New Roman"/>
                <w:b/>
                <w:sz w:val="24"/>
                <w:szCs w:val="24"/>
              </w:rPr>
              <w:t>FR.019</w:t>
            </w:r>
          </w:p>
          <w:p w:rsidR="00FD26C6" w:rsidRPr="004A5BE6" w:rsidRDefault="00FD26C6" w:rsidP="001C42F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Değişi</w:t>
            </w:r>
            <w:r w:rsidR="004A5BE6">
              <w:rPr>
                <w:rFonts w:ascii="Times New Roman" w:hAnsi="Times New Roman" w:cs="Times New Roman"/>
                <w:sz w:val="24"/>
                <w:szCs w:val="24"/>
              </w:rPr>
              <w:t xml:space="preserve">klik </w:t>
            </w:r>
            <w:r w:rsidRPr="00252F63">
              <w:rPr>
                <w:rFonts w:ascii="Times New Roman" w:hAnsi="Times New Roman" w:cs="Times New Roman"/>
                <w:sz w:val="24"/>
                <w:szCs w:val="24"/>
              </w:rPr>
              <w:t>Onay Listesi</w:t>
            </w:r>
            <w:r w:rsidR="00734DA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34DAD" w:rsidRPr="004A5BE6">
              <w:rPr>
                <w:rFonts w:ascii="Times New Roman" w:hAnsi="Times New Roman" w:cs="Times New Roman"/>
                <w:b/>
                <w:sz w:val="24"/>
                <w:szCs w:val="24"/>
              </w:rPr>
              <w:t>LS.</w:t>
            </w:r>
            <w:r w:rsidR="004A5BE6" w:rsidRPr="004A5BE6">
              <w:rPr>
                <w:rFonts w:ascii="Times New Roman" w:hAnsi="Times New Roman" w:cs="Times New Roman"/>
                <w:b/>
                <w:sz w:val="24"/>
                <w:szCs w:val="24"/>
              </w:rPr>
              <w:t>002</w:t>
            </w:r>
          </w:p>
          <w:p w:rsidR="009C6B45" w:rsidRPr="009C6B45" w:rsidRDefault="001C42F6" w:rsidP="009C6B45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Yönetim Gözden Geçirme </w:t>
            </w:r>
            <w:r w:rsidR="009C6B45" w:rsidRPr="009C6B45">
              <w:rPr>
                <w:rFonts w:ascii="Times New Roman" w:hAnsi="Times New Roman" w:cs="Times New Roman"/>
                <w:sz w:val="24"/>
                <w:szCs w:val="24"/>
              </w:rPr>
              <w:t>Toplantı Duyuru Formu</w:t>
            </w:r>
            <w:r w:rsidR="004A5BE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34DAD" w:rsidRPr="004A5BE6">
              <w:rPr>
                <w:rFonts w:ascii="Times New Roman" w:hAnsi="Times New Roman" w:cs="Times New Roman"/>
                <w:b/>
                <w:sz w:val="24"/>
                <w:szCs w:val="24"/>
              </w:rPr>
              <w:t>FR-015</w:t>
            </w:r>
          </w:p>
          <w:p w:rsidR="00FD26C6" w:rsidRDefault="009C6B45" w:rsidP="009C6B45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Yönetim Gözden Geçirme </w:t>
            </w:r>
            <w:bookmarkEnd w:id="0"/>
            <w:r w:rsidRPr="009C6B45">
              <w:rPr>
                <w:rFonts w:ascii="Times New Roman" w:hAnsi="Times New Roman" w:cs="Times New Roman"/>
                <w:sz w:val="24"/>
                <w:szCs w:val="24"/>
              </w:rPr>
              <w:t xml:space="preserve">Toplantı Karar Formu </w:t>
            </w:r>
            <w:r w:rsidR="009257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4DAD" w:rsidRPr="004A5BE6">
              <w:rPr>
                <w:rFonts w:ascii="Times New Roman" w:hAnsi="Times New Roman" w:cs="Times New Roman"/>
                <w:b/>
                <w:sz w:val="24"/>
                <w:szCs w:val="24"/>
              </w:rPr>
              <w:t>- FR.016</w:t>
            </w:r>
          </w:p>
          <w:p w:rsidR="001C42F6" w:rsidRPr="001C42F6" w:rsidRDefault="001C42F6" w:rsidP="001C4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AFD" w:rsidRPr="00BE6B12" w:rsidRDefault="00265AFD" w:rsidP="001C42F6">
      <w:pPr>
        <w:spacing w:after="0" w:line="240" w:lineRule="auto"/>
        <w:jc w:val="both"/>
      </w:pPr>
    </w:p>
    <w:sectPr w:rsidR="00265AFD" w:rsidRPr="00BE6B12" w:rsidSect="00DF5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DAD" w:rsidRDefault="00734DAD" w:rsidP="00DB3FF5">
      <w:pPr>
        <w:spacing w:after="0" w:line="240" w:lineRule="auto"/>
      </w:pPr>
      <w:r>
        <w:separator/>
      </w:r>
    </w:p>
  </w:endnote>
  <w:endnote w:type="continuationSeparator" w:id="1">
    <w:p w:rsidR="00734DAD" w:rsidRDefault="00734DAD" w:rsidP="00DB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DAD" w:rsidRDefault="00734DA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1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00"/>
    </w:tblPr>
    <w:tblGrid>
      <w:gridCol w:w="5245"/>
      <w:gridCol w:w="5406"/>
    </w:tblGrid>
    <w:tr w:rsidR="00734DAD" w:rsidRPr="00AE2480" w:rsidTr="00734DAD">
      <w:trPr>
        <w:trHeight w:hRule="exact" w:val="314"/>
      </w:trPr>
      <w:tc>
        <w:tcPr>
          <w:tcW w:w="5245" w:type="dxa"/>
          <w:shd w:val="clear" w:color="auto" w:fill="FF7300"/>
          <w:vAlign w:val="center"/>
        </w:tcPr>
        <w:p w:rsidR="00734DAD" w:rsidRPr="00AE2480" w:rsidRDefault="00734DAD" w:rsidP="00734DAD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HAZIRLAYAN</w:t>
          </w:r>
        </w:p>
        <w:p w:rsidR="00734DAD" w:rsidRPr="00AE2480" w:rsidRDefault="00734DAD" w:rsidP="00734DAD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734DAD" w:rsidRPr="00AE2480" w:rsidRDefault="00734DAD" w:rsidP="00734DAD">
          <w:pPr>
            <w:jc w:val="center"/>
            <w:rPr>
              <w:b/>
              <w:bCs/>
              <w:color w:val="003FDA"/>
              <w:sz w:val="20"/>
              <w:szCs w:val="20"/>
            </w:rPr>
          </w:pPr>
        </w:p>
        <w:p w:rsidR="00734DAD" w:rsidRPr="00AE2480" w:rsidRDefault="00734DAD" w:rsidP="00734DAD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KONTROL EDEN</w:t>
          </w:r>
        </w:p>
        <w:p w:rsidR="00734DAD" w:rsidRPr="00AE2480" w:rsidRDefault="00734DAD" w:rsidP="00734DAD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734DAD" w:rsidRPr="00AE2480" w:rsidRDefault="00734DAD" w:rsidP="00734DAD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734DAD" w:rsidRPr="00AE2480" w:rsidRDefault="00734DAD" w:rsidP="00734DAD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</w:tc>
      <w:tc>
        <w:tcPr>
          <w:tcW w:w="5406" w:type="dxa"/>
          <w:shd w:val="clear" w:color="auto" w:fill="FF7300"/>
          <w:vAlign w:val="center"/>
        </w:tcPr>
        <w:p w:rsidR="00734DAD" w:rsidRPr="00AE2480" w:rsidRDefault="00734DAD" w:rsidP="00734DAD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ONAYLAYAN</w:t>
          </w:r>
        </w:p>
        <w:p w:rsidR="00734DAD" w:rsidRPr="00AE2480" w:rsidRDefault="00734DAD" w:rsidP="00734DAD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734DAD" w:rsidRPr="00AE2480" w:rsidRDefault="00734DAD" w:rsidP="00734DAD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734DAD" w:rsidRPr="00AE2480" w:rsidRDefault="00734DAD" w:rsidP="00734DAD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Orhan DELİGÖZ</w:t>
          </w:r>
        </w:p>
        <w:p w:rsidR="00734DAD" w:rsidRPr="00AE2480" w:rsidRDefault="00734DAD" w:rsidP="00734DAD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proofErr w:type="spellStart"/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StratejiGeliştirmeDaireBaşkanı</w:t>
          </w:r>
          <w:proofErr w:type="spellEnd"/>
        </w:p>
        <w:p w:rsidR="00734DAD" w:rsidRPr="00AE2480" w:rsidRDefault="00734DAD" w:rsidP="00734DAD">
          <w:pPr>
            <w:jc w:val="center"/>
            <w:rPr>
              <w:b/>
              <w:bCs/>
              <w:color w:val="003FDA"/>
              <w:sz w:val="20"/>
              <w:szCs w:val="20"/>
              <w:lang w:val="it-IT"/>
            </w:rPr>
          </w:pPr>
        </w:p>
      </w:tc>
    </w:tr>
    <w:tr w:rsidR="00734DAD" w:rsidRPr="00AE2480" w:rsidTr="00734DAD">
      <w:trPr>
        <w:trHeight w:val="790"/>
      </w:trPr>
      <w:tc>
        <w:tcPr>
          <w:tcW w:w="5245" w:type="dxa"/>
        </w:tcPr>
        <w:p w:rsidR="00734DAD" w:rsidRPr="009D7BAD" w:rsidRDefault="00734DAD" w:rsidP="00734D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  <w:p w:rsidR="00734DAD" w:rsidRPr="009D7BAD" w:rsidRDefault="00734DAD" w:rsidP="00734D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>Sivil Savunma ve Güvenlik İşleri Şube Müdürü</w:t>
          </w:r>
        </w:p>
      </w:tc>
      <w:tc>
        <w:tcPr>
          <w:tcW w:w="5406" w:type="dxa"/>
        </w:tcPr>
        <w:p w:rsidR="00734DAD" w:rsidRPr="009D7BAD" w:rsidRDefault="00734DAD" w:rsidP="00734D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  <w:p w:rsidR="00734DAD" w:rsidRPr="009D7BAD" w:rsidRDefault="00734DAD" w:rsidP="00734D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>Destek Hizmetleri Daire</w:t>
          </w:r>
          <w:r>
            <w:rPr>
              <w:rFonts w:ascii="Times New Roman" w:hAnsi="Times New Roman"/>
              <w:b/>
              <w:bCs/>
              <w:sz w:val="18"/>
              <w:szCs w:val="18"/>
            </w:rPr>
            <w:t>si</w:t>
          </w: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 xml:space="preserve"> Başkanı</w:t>
          </w:r>
        </w:p>
      </w:tc>
    </w:tr>
  </w:tbl>
  <w:p w:rsidR="00734DAD" w:rsidRPr="000C3C62" w:rsidRDefault="00734DAD" w:rsidP="000C3C62">
    <w:pPr>
      <w:pStyle w:val="Altbilgi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DAD" w:rsidRDefault="00734DA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DAD" w:rsidRDefault="00734DAD" w:rsidP="00DB3FF5">
      <w:pPr>
        <w:spacing w:after="0" w:line="240" w:lineRule="auto"/>
      </w:pPr>
      <w:r>
        <w:separator/>
      </w:r>
    </w:p>
  </w:footnote>
  <w:footnote w:type="continuationSeparator" w:id="1">
    <w:p w:rsidR="00734DAD" w:rsidRDefault="00734DAD" w:rsidP="00DB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DAD" w:rsidRDefault="00734DA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1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/>
      <w:tblLayout w:type="fixed"/>
      <w:tblLook w:val="0000"/>
    </w:tblPr>
    <w:tblGrid>
      <w:gridCol w:w="2287"/>
      <w:gridCol w:w="4518"/>
      <w:gridCol w:w="1984"/>
      <w:gridCol w:w="1862"/>
    </w:tblGrid>
    <w:tr w:rsidR="00734DAD" w:rsidRPr="00910679" w:rsidTr="00B00616">
      <w:trPr>
        <w:cantSplit/>
        <w:trHeight w:hRule="exact" w:val="340"/>
      </w:trPr>
      <w:tc>
        <w:tcPr>
          <w:tcW w:w="2287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4C4A80" w:rsidRDefault="00734DAD" w:rsidP="002123D0">
          <w:pPr>
            <w:ind w:left="-108"/>
            <w:jc w:val="center"/>
            <w:rPr>
              <w:lang w:val="de-DE"/>
            </w:rPr>
          </w:pPr>
          <w:r w:rsidRPr="00910679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1371600" cy="1057275"/>
                <wp:effectExtent l="19050" t="0" r="0" b="0"/>
                <wp:docPr id="83" name="Resim 83" descr="\\PC06052-085\kalite\GEREKLİ EVRAKLAR\Tapu ve Kadastro Yeni 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\\PC06052-085\kalite\GEREKLİ EVRAKLAR\Tapu ve Kadastro Yeni 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8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ED7D31" w:themeFill="accent2"/>
          <w:vAlign w:val="center"/>
        </w:tcPr>
        <w:p w:rsidR="00734DAD" w:rsidRPr="00AC30B2" w:rsidRDefault="00734DAD" w:rsidP="00DE252F">
          <w:pPr>
            <w:spacing w:after="0"/>
            <w:jc w:val="center"/>
            <w:rPr>
              <w:rFonts w:ascii="Times New Roman" w:hAnsi="Times New Roman" w:cs="Times New Roman"/>
              <w:b/>
              <w:color w:val="1F497D"/>
              <w:sz w:val="24"/>
              <w:szCs w:val="28"/>
              <w:lang w:val="de-DE"/>
            </w:rPr>
          </w:pPr>
          <w:r w:rsidRPr="00AC30B2">
            <w:rPr>
              <w:rFonts w:ascii="Times New Roman" w:hAnsi="Times New Roman" w:cs="Times New Roman"/>
              <w:b/>
              <w:color w:val="1F497D"/>
              <w:sz w:val="24"/>
              <w:szCs w:val="28"/>
              <w:lang w:val="de-DE"/>
            </w:rPr>
            <w:t>TS ISO 45001:2018</w:t>
          </w:r>
        </w:p>
        <w:p w:rsidR="00734DAD" w:rsidRPr="00470889" w:rsidRDefault="00734DAD" w:rsidP="00DE252F">
          <w:pPr>
            <w:spacing w:after="0"/>
            <w:jc w:val="center"/>
            <w:rPr>
              <w:b/>
              <w:color w:val="1F497D"/>
              <w:szCs w:val="28"/>
              <w:lang w:val="de-DE"/>
            </w:rPr>
          </w:pPr>
          <w:r w:rsidRPr="00AC30B2">
            <w:rPr>
              <w:rFonts w:ascii="Times New Roman" w:hAnsi="Times New Roman" w:cs="Times New Roman"/>
              <w:b/>
              <w:color w:val="1F497D"/>
              <w:sz w:val="24"/>
              <w:szCs w:val="28"/>
              <w:lang w:val="de-DE"/>
            </w:rPr>
            <w:t>İŞ SAĞLIĞI VE GÜVENLİĞİ YÖNETİM SİSTEMLERİ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CF2943" w:rsidRDefault="00734DAD" w:rsidP="00AC30B2">
          <w:pPr>
            <w:rPr>
              <w:rFonts w:ascii="Times New Roman" w:hAnsi="Times New Roman"/>
              <w:b/>
              <w:bCs/>
            </w:rPr>
          </w:pPr>
          <w:r w:rsidRPr="00CF2943">
            <w:rPr>
              <w:rFonts w:ascii="Times New Roman" w:hAnsi="Times New Roman"/>
              <w:b/>
            </w:rPr>
            <w:t xml:space="preserve">Yürürlük Tarihi </w:t>
          </w:r>
        </w:p>
      </w:tc>
      <w:tc>
        <w:tcPr>
          <w:tcW w:w="186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CF2943" w:rsidRDefault="00734DAD" w:rsidP="00AC30B2">
          <w:pPr>
            <w:rPr>
              <w:rFonts w:ascii="Times New Roman" w:hAnsi="Times New Roman"/>
              <w:b/>
              <w:bCs/>
            </w:rPr>
          </w:pPr>
          <w:r w:rsidRPr="00CF2943">
            <w:rPr>
              <w:rFonts w:ascii="Times New Roman" w:hAnsi="Times New Roman"/>
              <w:b/>
              <w:bCs/>
            </w:rPr>
            <w:t>10.02.2021</w:t>
          </w:r>
        </w:p>
      </w:tc>
    </w:tr>
    <w:tr w:rsidR="00734DAD" w:rsidRPr="00910679" w:rsidTr="00B00616">
      <w:trPr>
        <w:cantSplit/>
        <w:trHeight w:hRule="exact" w:val="340"/>
      </w:trPr>
      <w:tc>
        <w:tcPr>
          <w:tcW w:w="2287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A13C49" w:rsidRDefault="00734DAD" w:rsidP="006A4FBA">
          <w:pPr>
            <w:jc w:val="center"/>
          </w:pPr>
        </w:p>
      </w:tc>
      <w:tc>
        <w:tcPr>
          <w:tcW w:w="4518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ED7D31" w:themeFill="accent2"/>
        </w:tcPr>
        <w:p w:rsidR="00734DAD" w:rsidRPr="00D3002A" w:rsidRDefault="00734DAD" w:rsidP="006A4FBA">
          <w:pPr>
            <w:pStyle w:val="Balk3"/>
            <w:rPr>
              <w:b w:val="0"/>
              <w:bCs/>
              <w:sz w:val="24"/>
            </w:rPr>
          </w:pP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CF2943" w:rsidRDefault="00734DAD" w:rsidP="00AC30B2">
          <w:pPr>
            <w:pStyle w:val="Balk3"/>
            <w:rPr>
              <w:rFonts w:ascii="Times New Roman" w:hAnsi="Times New Roman"/>
              <w:sz w:val="22"/>
              <w:szCs w:val="22"/>
            </w:rPr>
          </w:pPr>
          <w:r w:rsidRPr="00CF2943">
            <w:rPr>
              <w:rFonts w:ascii="Times New Roman" w:hAnsi="Times New Roman"/>
              <w:sz w:val="22"/>
              <w:szCs w:val="22"/>
            </w:rPr>
            <w:t>Doküman Kodu</w:t>
          </w:r>
        </w:p>
      </w:tc>
      <w:tc>
        <w:tcPr>
          <w:tcW w:w="186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CF2943" w:rsidRDefault="00734DAD" w:rsidP="00AC30B2">
          <w:pPr>
            <w:pStyle w:val="Balk3"/>
            <w:rPr>
              <w:rFonts w:ascii="Times New Roman" w:hAnsi="Times New Roman"/>
              <w:sz w:val="22"/>
              <w:szCs w:val="22"/>
            </w:rPr>
          </w:pPr>
          <w:proofErr w:type="gramStart"/>
          <w:r w:rsidRPr="00CF2943">
            <w:rPr>
              <w:rFonts w:ascii="Times New Roman" w:hAnsi="Times New Roman"/>
              <w:sz w:val="22"/>
              <w:szCs w:val="22"/>
            </w:rPr>
            <w:t>99445787</w:t>
          </w:r>
          <w:proofErr w:type="gramEnd"/>
          <w:r w:rsidRPr="00CF2943">
            <w:rPr>
              <w:rFonts w:ascii="Times New Roman" w:hAnsi="Times New Roman"/>
              <w:sz w:val="22"/>
              <w:szCs w:val="22"/>
            </w:rPr>
            <w:t>-PR.0</w:t>
          </w:r>
          <w:r>
            <w:rPr>
              <w:rFonts w:ascii="Times New Roman" w:hAnsi="Times New Roman"/>
              <w:sz w:val="22"/>
              <w:szCs w:val="22"/>
            </w:rPr>
            <w:t>0</w:t>
          </w:r>
          <w:r w:rsidRPr="00CF2943">
            <w:rPr>
              <w:rFonts w:ascii="Times New Roman" w:hAnsi="Times New Roman"/>
              <w:sz w:val="22"/>
              <w:szCs w:val="22"/>
            </w:rPr>
            <w:t>4</w:t>
          </w:r>
        </w:p>
      </w:tc>
    </w:tr>
    <w:tr w:rsidR="00734DAD" w:rsidRPr="00910679" w:rsidTr="00B00616">
      <w:trPr>
        <w:cantSplit/>
        <w:trHeight w:hRule="exact" w:val="340"/>
      </w:trPr>
      <w:tc>
        <w:tcPr>
          <w:tcW w:w="2287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A13C49" w:rsidRDefault="00734DAD" w:rsidP="006A4FBA">
          <w:pPr>
            <w:jc w:val="center"/>
          </w:pPr>
        </w:p>
      </w:tc>
      <w:tc>
        <w:tcPr>
          <w:tcW w:w="4518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ED7D31" w:themeFill="accent2"/>
        </w:tcPr>
        <w:p w:rsidR="00734DAD" w:rsidRPr="0007787B" w:rsidRDefault="00734DAD" w:rsidP="006A4FBA">
          <w:pPr>
            <w:rPr>
              <w:bCs/>
            </w:rPr>
          </w:pP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CF2943" w:rsidRDefault="00734DAD" w:rsidP="00AC30B2">
          <w:pPr>
            <w:rPr>
              <w:rFonts w:ascii="Times New Roman" w:hAnsi="Times New Roman"/>
              <w:b/>
              <w:bCs/>
            </w:rPr>
          </w:pPr>
          <w:proofErr w:type="spellStart"/>
          <w:r w:rsidRPr="00CF2943">
            <w:rPr>
              <w:rFonts w:ascii="Times New Roman" w:hAnsi="Times New Roman"/>
              <w:b/>
              <w:bCs/>
            </w:rPr>
            <w:t>Rev</w:t>
          </w:r>
          <w:proofErr w:type="spellEnd"/>
          <w:r w:rsidRPr="00CF2943">
            <w:rPr>
              <w:rFonts w:ascii="Times New Roman" w:hAnsi="Times New Roman"/>
              <w:b/>
              <w:bCs/>
            </w:rPr>
            <w:t>. No</w:t>
          </w:r>
        </w:p>
      </w:tc>
      <w:tc>
        <w:tcPr>
          <w:tcW w:w="186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CF2943" w:rsidRDefault="00734DAD" w:rsidP="00AC30B2">
          <w:pPr>
            <w:rPr>
              <w:rFonts w:ascii="Times New Roman" w:hAnsi="Times New Roman"/>
              <w:b/>
              <w:bCs/>
            </w:rPr>
          </w:pPr>
          <w:r w:rsidRPr="00CF2943">
            <w:rPr>
              <w:rFonts w:ascii="Times New Roman" w:hAnsi="Times New Roman"/>
              <w:b/>
              <w:bCs/>
            </w:rPr>
            <w:t>00</w:t>
          </w:r>
        </w:p>
      </w:tc>
    </w:tr>
    <w:tr w:rsidR="00734DAD" w:rsidRPr="00910679" w:rsidTr="00B00616">
      <w:trPr>
        <w:cantSplit/>
        <w:trHeight w:hRule="exact" w:val="340"/>
      </w:trPr>
      <w:tc>
        <w:tcPr>
          <w:tcW w:w="2287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A13C49" w:rsidRDefault="00734DAD" w:rsidP="006A4FBA">
          <w:pPr>
            <w:jc w:val="center"/>
          </w:pPr>
        </w:p>
      </w:tc>
      <w:tc>
        <w:tcPr>
          <w:tcW w:w="4518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ED7D31" w:themeFill="accent2"/>
        </w:tcPr>
        <w:p w:rsidR="00734DAD" w:rsidRPr="0007787B" w:rsidRDefault="00734DAD" w:rsidP="006A4FBA">
          <w:pPr>
            <w:rPr>
              <w:bCs/>
            </w:rPr>
          </w:pP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CF2943" w:rsidRDefault="00734DAD" w:rsidP="00AC30B2">
          <w:pPr>
            <w:rPr>
              <w:rFonts w:ascii="Times New Roman" w:hAnsi="Times New Roman"/>
              <w:b/>
              <w:bCs/>
            </w:rPr>
          </w:pPr>
          <w:proofErr w:type="spellStart"/>
          <w:r w:rsidRPr="00CF2943">
            <w:rPr>
              <w:rFonts w:ascii="Times New Roman" w:hAnsi="Times New Roman"/>
              <w:b/>
              <w:bCs/>
            </w:rPr>
            <w:t>Rev</w:t>
          </w:r>
          <w:proofErr w:type="spellEnd"/>
          <w:r w:rsidRPr="00CF2943">
            <w:rPr>
              <w:rFonts w:ascii="Times New Roman" w:hAnsi="Times New Roman"/>
              <w:b/>
              <w:bCs/>
            </w:rPr>
            <w:t>. Tarihi</w:t>
          </w:r>
        </w:p>
      </w:tc>
      <w:tc>
        <w:tcPr>
          <w:tcW w:w="186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CF2943" w:rsidRDefault="00734DAD" w:rsidP="00AC30B2">
          <w:pPr>
            <w:rPr>
              <w:rFonts w:ascii="Times New Roman" w:hAnsi="Times New Roman"/>
              <w:b/>
              <w:bCs/>
            </w:rPr>
          </w:pPr>
          <w:proofErr w:type="gramStart"/>
          <w:r w:rsidRPr="00CF2943">
            <w:rPr>
              <w:rFonts w:ascii="Times New Roman" w:hAnsi="Times New Roman"/>
              <w:b/>
              <w:bCs/>
            </w:rPr>
            <w:t>…..</w:t>
          </w:r>
          <w:proofErr w:type="gramEnd"/>
          <w:r w:rsidRPr="00CF2943">
            <w:rPr>
              <w:rFonts w:ascii="Times New Roman" w:hAnsi="Times New Roman"/>
              <w:b/>
              <w:bCs/>
            </w:rPr>
            <w:t>/…../…..</w:t>
          </w:r>
        </w:p>
      </w:tc>
    </w:tr>
    <w:tr w:rsidR="00734DAD" w:rsidRPr="00910679" w:rsidTr="00B00616">
      <w:trPr>
        <w:cantSplit/>
        <w:trHeight w:hRule="exact" w:val="340"/>
      </w:trPr>
      <w:tc>
        <w:tcPr>
          <w:tcW w:w="2287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A13C49" w:rsidRDefault="00734DAD" w:rsidP="006A4FBA">
          <w:pPr>
            <w:jc w:val="center"/>
          </w:pPr>
        </w:p>
      </w:tc>
      <w:tc>
        <w:tcPr>
          <w:tcW w:w="4518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ED7D31" w:themeFill="accent2"/>
        </w:tcPr>
        <w:p w:rsidR="00734DAD" w:rsidRPr="0007787B" w:rsidRDefault="00734DAD" w:rsidP="006A4FBA">
          <w:pPr>
            <w:rPr>
              <w:bCs/>
            </w:rPr>
          </w:pP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CF2943" w:rsidRDefault="00734DAD" w:rsidP="00AC30B2">
          <w:pPr>
            <w:rPr>
              <w:rFonts w:ascii="Times New Roman" w:hAnsi="Times New Roman"/>
              <w:b/>
              <w:bCs/>
            </w:rPr>
          </w:pPr>
          <w:r w:rsidRPr="00CF2943">
            <w:rPr>
              <w:rFonts w:ascii="Times New Roman" w:hAnsi="Times New Roman"/>
              <w:b/>
              <w:bCs/>
            </w:rPr>
            <w:t>Sayfa No</w:t>
          </w:r>
        </w:p>
      </w:tc>
      <w:tc>
        <w:tcPr>
          <w:tcW w:w="186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CF2943" w:rsidRDefault="001330E6" w:rsidP="002123D0">
          <w:pPr>
            <w:ind w:left="459"/>
            <w:rPr>
              <w:rFonts w:ascii="Times New Roman" w:hAnsi="Times New Roman"/>
              <w:b/>
              <w:bCs/>
            </w:rPr>
          </w:pPr>
          <w:r w:rsidRPr="00CF2943">
            <w:rPr>
              <w:rFonts w:ascii="Times New Roman" w:hAnsi="Times New Roman"/>
              <w:b/>
              <w:bCs/>
            </w:rPr>
            <w:fldChar w:fldCharType="begin"/>
          </w:r>
          <w:r w:rsidR="00734DAD" w:rsidRPr="00CF2943">
            <w:rPr>
              <w:rFonts w:ascii="Times New Roman" w:hAnsi="Times New Roman"/>
              <w:b/>
              <w:bCs/>
            </w:rPr>
            <w:instrText xml:space="preserve"> PAGE  \* Arabic  \* MERGEFORMAT </w:instrText>
          </w:r>
          <w:r w:rsidRPr="00CF2943">
            <w:rPr>
              <w:rFonts w:ascii="Times New Roman" w:hAnsi="Times New Roman"/>
              <w:b/>
              <w:bCs/>
            </w:rPr>
            <w:fldChar w:fldCharType="separate"/>
          </w:r>
          <w:r w:rsidR="001421CE">
            <w:rPr>
              <w:rFonts w:ascii="Times New Roman" w:hAnsi="Times New Roman"/>
              <w:b/>
              <w:bCs/>
              <w:noProof/>
            </w:rPr>
            <w:t>1</w:t>
          </w:r>
          <w:r w:rsidRPr="00CF2943">
            <w:rPr>
              <w:rFonts w:ascii="Times New Roman" w:hAnsi="Times New Roman"/>
              <w:b/>
              <w:bCs/>
            </w:rPr>
            <w:fldChar w:fldCharType="end"/>
          </w:r>
          <w:r w:rsidR="00734DAD" w:rsidRPr="00CF2943">
            <w:rPr>
              <w:rFonts w:ascii="Times New Roman" w:hAnsi="Times New Roman"/>
              <w:b/>
              <w:bCs/>
            </w:rPr>
            <w:t xml:space="preserve"> / </w:t>
          </w:r>
          <w:fldSimple w:instr=" NUMPAGES   \* MERGEFORMAT ">
            <w:r w:rsidR="001421CE">
              <w:rPr>
                <w:rFonts w:ascii="Times New Roman" w:hAnsi="Times New Roman"/>
                <w:b/>
                <w:bCs/>
                <w:noProof/>
              </w:rPr>
              <w:t>2</w:t>
            </w:r>
          </w:fldSimple>
        </w:p>
      </w:tc>
    </w:tr>
    <w:tr w:rsidR="00734DAD" w:rsidRPr="00BC733A" w:rsidTr="00BE6B12">
      <w:trPr>
        <w:cantSplit/>
        <w:trHeight w:hRule="exact" w:val="719"/>
      </w:trPr>
      <w:tc>
        <w:tcPr>
          <w:tcW w:w="228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Default="00734DAD" w:rsidP="006A4FBA">
          <w:pPr>
            <w:jc w:val="center"/>
            <w:rPr>
              <w:b/>
            </w:rPr>
          </w:pPr>
          <w:r>
            <w:rPr>
              <w:b/>
              <w:noProof/>
              <w:lang w:eastAsia="tr-TR"/>
            </w:rPr>
            <w:drawing>
              <wp:inline distT="0" distB="0" distL="0" distR="0">
                <wp:extent cx="1257300" cy="419100"/>
                <wp:effectExtent l="0" t="0" r="0" b="0"/>
                <wp:docPr id="84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d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892" cy="419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gridSpan w:val="3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734DAD" w:rsidRPr="00B00616" w:rsidRDefault="00734DAD" w:rsidP="00CF2943">
          <w:pPr>
            <w:spacing w:after="0"/>
            <w:jc w:val="center"/>
            <w:rPr>
              <w:rFonts w:ascii="Times New Roman" w:hAnsi="Times New Roman" w:cs="Times New Roman"/>
              <w:bCs/>
              <w:color w:val="0070C0"/>
              <w:szCs w:val="24"/>
            </w:rPr>
          </w:pPr>
          <w:r w:rsidRPr="00B00616">
            <w:rPr>
              <w:rFonts w:ascii="Times New Roman" w:hAnsi="Times New Roman" w:cs="Times New Roman"/>
              <w:b/>
              <w:color w:val="0070C0"/>
              <w:sz w:val="24"/>
              <w:szCs w:val="28"/>
              <w:lang w:val="de-DE"/>
            </w:rPr>
            <w:t>İSG DEĞİŞİM YÖNETİMİ PROSEDÜRÜ</w:t>
          </w:r>
        </w:p>
      </w:tc>
    </w:tr>
  </w:tbl>
  <w:p w:rsidR="00734DAD" w:rsidRDefault="00734DA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DAD" w:rsidRDefault="00734DA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36C32"/>
    <w:multiLevelType w:val="hybridMultilevel"/>
    <w:tmpl w:val="20B2B26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923732"/>
    <w:multiLevelType w:val="hybridMultilevel"/>
    <w:tmpl w:val="0EE25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F294A"/>
    <w:multiLevelType w:val="hybridMultilevel"/>
    <w:tmpl w:val="83ACDA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CD4DD1"/>
    <w:multiLevelType w:val="hybridMultilevel"/>
    <w:tmpl w:val="05AA8C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DB3FF5"/>
    <w:rsid w:val="0000531C"/>
    <w:rsid w:val="0002799B"/>
    <w:rsid w:val="00036E47"/>
    <w:rsid w:val="00062BE0"/>
    <w:rsid w:val="00082BF3"/>
    <w:rsid w:val="000B1A97"/>
    <w:rsid w:val="000C3C62"/>
    <w:rsid w:val="000C7F3D"/>
    <w:rsid w:val="000F3E89"/>
    <w:rsid w:val="001330E6"/>
    <w:rsid w:val="001421CE"/>
    <w:rsid w:val="00143227"/>
    <w:rsid w:val="001515E0"/>
    <w:rsid w:val="001B364C"/>
    <w:rsid w:val="001C42F6"/>
    <w:rsid w:val="001D6F90"/>
    <w:rsid w:val="002123D0"/>
    <w:rsid w:val="00226569"/>
    <w:rsid w:val="00252F63"/>
    <w:rsid w:val="00265AFD"/>
    <w:rsid w:val="00287330"/>
    <w:rsid w:val="002D04BE"/>
    <w:rsid w:val="002E3704"/>
    <w:rsid w:val="00351113"/>
    <w:rsid w:val="00366955"/>
    <w:rsid w:val="003771B4"/>
    <w:rsid w:val="003C5D10"/>
    <w:rsid w:val="003E085E"/>
    <w:rsid w:val="003E5273"/>
    <w:rsid w:val="00431766"/>
    <w:rsid w:val="00440B48"/>
    <w:rsid w:val="00442072"/>
    <w:rsid w:val="00454BAA"/>
    <w:rsid w:val="00493830"/>
    <w:rsid w:val="004A5BE6"/>
    <w:rsid w:val="004E4F7E"/>
    <w:rsid w:val="00545B81"/>
    <w:rsid w:val="00592ED7"/>
    <w:rsid w:val="005E4E89"/>
    <w:rsid w:val="00627C34"/>
    <w:rsid w:val="00665C08"/>
    <w:rsid w:val="006A4FBA"/>
    <w:rsid w:val="006A7E60"/>
    <w:rsid w:val="006B0F4C"/>
    <w:rsid w:val="006C5B90"/>
    <w:rsid w:val="006D0BED"/>
    <w:rsid w:val="006D0CC8"/>
    <w:rsid w:val="006E2AD2"/>
    <w:rsid w:val="00723414"/>
    <w:rsid w:val="00734DAD"/>
    <w:rsid w:val="007B4E19"/>
    <w:rsid w:val="007B5B2D"/>
    <w:rsid w:val="007C011C"/>
    <w:rsid w:val="007D2840"/>
    <w:rsid w:val="008107F3"/>
    <w:rsid w:val="008209C9"/>
    <w:rsid w:val="00820E04"/>
    <w:rsid w:val="00827404"/>
    <w:rsid w:val="00844E91"/>
    <w:rsid w:val="00853CAC"/>
    <w:rsid w:val="0087110F"/>
    <w:rsid w:val="008E3FB5"/>
    <w:rsid w:val="0092570F"/>
    <w:rsid w:val="009373E5"/>
    <w:rsid w:val="009402F2"/>
    <w:rsid w:val="0096796B"/>
    <w:rsid w:val="00990A92"/>
    <w:rsid w:val="0099674B"/>
    <w:rsid w:val="009C6B45"/>
    <w:rsid w:val="00A429E2"/>
    <w:rsid w:val="00A5714D"/>
    <w:rsid w:val="00A61C5A"/>
    <w:rsid w:val="00A67794"/>
    <w:rsid w:val="00AC30B2"/>
    <w:rsid w:val="00B00616"/>
    <w:rsid w:val="00B017E4"/>
    <w:rsid w:val="00B321EB"/>
    <w:rsid w:val="00B37218"/>
    <w:rsid w:val="00B95E7E"/>
    <w:rsid w:val="00BB1C7C"/>
    <w:rsid w:val="00BD003E"/>
    <w:rsid w:val="00BD63C7"/>
    <w:rsid w:val="00BE6B12"/>
    <w:rsid w:val="00C52C1B"/>
    <w:rsid w:val="00CC7ABC"/>
    <w:rsid w:val="00CF2943"/>
    <w:rsid w:val="00D359C4"/>
    <w:rsid w:val="00D95E5F"/>
    <w:rsid w:val="00DB3FF5"/>
    <w:rsid w:val="00DD041A"/>
    <w:rsid w:val="00DE252F"/>
    <w:rsid w:val="00DE5E8F"/>
    <w:rsid w:val="00DE69A9"/>
    <w:rsid w:val="00DF53D0"/>
    <w:rsid w:val="00E102A9"/>
    <w:rsid w:val="00E21BE2"/>
    <w:rsid w:val="00E350C8"/>
    <w:rsid w:val="00E505D5"/>
    <w:rsid w:val="00EC3A62"/>
    <w:rsid w:val="00EE1C45"/>
    <w:rsid w:val="00FD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6C6"/>
  </w:style>
  <w:style w:type="paragraph" w:styleId="Balk3">
    <w:name w:val="heading 3"/>
    <w:basedOn w:val="Normal"/>
    <w:next w:val="Normal"/>
    <w:link w:val="Balk3Char"/>
    <w:qFormat/>
    <w:rsid w:val="007B5B2D"/>
    <w:pPr>
      <w:keepNext/>
      <w:spacing w:after="0" w:line="240" w:lineRule="auto"/>
      <w:ind w:right="-250"/>
      <w:outlineLvl w:val="2"/>
    </w:pPr>
    <w:rPr>
      <w:rFonts w:ascii="BookmanTurk" w:eastAsia="Times" w:hAnsi="BookmanTurk" w:cs="Times New Roman"/>
      <w:b/>
      <w:sz w:val="16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B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3FF5"/>
  </w:style>
  <w:style w:type="paragraph" w:styleId="Altbilgi">
    <w:name w:val="footer"/>
    <w:basedOn w:val="Normal"/>
    <w:link w:val="AltbilgiChar"/>
    <w:uiPriority w:val="99"/>
    <w:unhideWhenUsed/>
    <w:rsid w:val="00DB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3FF5"/>
  </w:style>
  <w:style w:type="table" w:styleId="TabloKlavuzu">
    <w:name w:val="Table Grid"/>
    <w:basedOn w:val="NormalTablo"/>
    <w:uiPriority w:val="39"/>
    <w:rsid w:val="00DB3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B3FF5"/>
    <w:pPr>
      <w:ind w:left="720"/>
      <w:contextualSpacing/>
    </w:pPr>
  </w:style>
  <w:style w:type="character" w:customStyle="1" w:styleId="st">
    <w:name w:val="st"/>
    <w:basedOn w:val="VarsaylanParagrafYazTipi"/>
    <w:rsid w:val="00DB3FF5"/>
  </w:style>
  <w:style w:type="character" w:styleId="Vurgu">
    <w:name w:val="Emphasis"/>
    <w:basedOn w:val="VarsaylanParagrafYazTipi"/>
    <w:uiPriority w:val="20"/>
    <w:qFormat/>
    <w:rsid w:val="00DB3FF5"/>
    <w:rPr>
      <w:i/>
      <w:iCs/>
    </w:rPr>
  </w:style>
  <w:style w:type="character" w:customStyle="1" w:styleId="Balk3Char">
    <w:name w:val="Başlık 3 Char"/>
    <w:basedOn w:val="VarsaylanParagrafYazTipi"/>
    <w:link w:val="Balk3"/>
    <w:rsid w:val="007B5B2D"/>
    <w:rPr>
      <w:rFonts w:ascii="BookmanTurk" w:eastAsia="Times" w:hAnsi="BookmanTurk" w:cs="Times New Roman"/>
      <w:b/>
      <w:sz w:val="16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D0977-5709-4C78-BAA1-BB788CC4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 Belge</dc:creator>
  <cp:keywords>adlbelge.com</cp:keywords>
  <dc:description/>
  <cp:lastModifiedBy>tk34756</cp:lastModifiedBy>
  <cp:revision>62</cp:revision>
  <cp:lastPrinted>2022-01-25T10:30:00Z</cp:lastPrinted>
  <dcterms:created xsi:type="dcterms:W3CDTF">2018-01-23T09:39:00Z</dcterms:created>
  <dcterms:modified xsi:type="dcterms:W3CDTF">2022-01-25T10:30:00Z</dcterms:modified>
</cp:coreProperties>
</file>