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06"/>
      </w:tblGrid>
      <w:tr w:rsidR="00477840" w:rsidTr="00380486">
        <w:trPr>
          <w:trHeight w:val="1125"/>
        </w:trPr>
        <w:tc>
          <w:tcPr>
            <w:tcW w:w="10206" w:type="dxa"/>
          </w:tcPr>
          <w:p w:rsidR="00D338A7" w:rsidRDefault="00D338A7" w:rsidP="000B7051">
            <w:pPr>
              <w:ind w:left="356" w:right="26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77840" w:rsidRPr="00477840" w:rsidRDefault="00477840" w:rsidP="000B7051">
            <w:pPr>
              <w:ind w:left="356" w:right="260"/>
              <w:jc w:val="both"/>
              <w:rPr>
                <w:rFonts w:ascii="Times New Roman" w:hAnsi="Times New Roman" w:cs="Times New Roman"/>
                <w:sz w:val="24"/>
              </w:rPr>
            </w:pPr>
            <w:r w:rsidRPr="00477840">
              <w:rPr>
                <w:rFonts w:ascii="Times New Roman" w:hAnsi="Times New Roman" w:cs="Times New Roman"/>
                <w:b/>
                <w:sz w:val="24"/>
              </w:rPr>
              <w:t xml:space="preserve">Görev Unvanı: </w:t>
            </w:r>
            <w:r w:rsidRPr="00477840">
              <w:rPr>
                <w:rFonts w:ascii="Times New Roman" w:hAnsi="Times New Roman" w:cs="Times New Roman"/>
                <w:sz w:val="24"/>
              </w:rPr>
              <w:t xml:space="preserve">Bakım Onarım </w:t>
            </w:r>
            <w:r w:rsidR="00263467">
              <w:rPr>
                <w:rFonts w:ascii="Times New Roman" w:hAnsi="Times New Roman" w:cs="Times New Roman"/>
                <w:sz w:val="24"/>
              </w:rPr>
              <w:t>Şube Müdürü</w:t>
            </w:r>
          </w:p>
          <w:p w:rsidR="00477840" w:rsidRPr="00477840" w:rsidRDefault="00477840" w:rsidP="000B7051">
            <w:pPr>
              <w:ind w:left="356" w:right="260"/>
              <w:jc w:val="both"/>
              <w:rPr>
                <w:rFonts w:ascii="Times New Roman" w:hAnsi="Times New Roman" w:cs="Times New Roman"/>
                <w:sz w:val="24"/>
              </w:rPr>
            </w:pPr>
            <w:r w:rsidRPr="00477840">
              <w:rPr>
                <w:rFonts w:ascii="Times New Roman" w:hAnsi="Times New Roman" w:cs="Times New Roman"/>
                <w:b/>
                <w:sz w:val="24"/>
              </w:rPr>
              <w:t xml:space="preserve">Bağlı Bulunduğu Birimler: </w:t>
            </w:r>
            <w:r w:rsidR="00D01663">
              <w:rPr>
                <w:rFonts w:ascii="Times New Roman" w:hAnsi="Times New Roman" w:cs="Times New Roman"/>
                <w:sz w:val="24"/>
              </w:rPr>
              <w:t>Destek Hizmetleri Dairesi Başkanı</w:t>
            </w:r>
          </w:p>
          <w:p w:rsidR="00477840" w:rsidRDefault="00477840" w:rsidP="000B7051">
            <w:pPr>
              <w:ind w:left="356" w:right="2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7840">
              <w:rPr>
                <w:rFonts w:ascii="Times New Roman" w:hAnsi="Times New Roman" w:cs="Times New Roman"/>
                <w:b/>
                <w:sz w:val="24"/>
              </w:rPr>
              <w:t>Bağlı Bulunan Bölümler:</w:t>
            </w:r>
          </w:p>
          <w:p w:rsidR="00CE6EAB" w:rsidRDefault="00CE6EAB" w:rsidP="000B7051">
            <w:pPr>
              <w:pStyle w:val="NormalWeb"/>
              <w:ind w:left="356" w:right="260"/>
              <w:jc w:val="both"/>
            </w:pPr>
            <w:r>
              <w:t>Bakım ve Onarım Şube Müdürünün görevleri şunlardır:</w:t>
            </w:r>
          </w:p>
          <w:p w:rsidR="00CE6EAB" w:rsidRDefault="00CE6EAB" w:rsidP="000B7051">
            <w:pPr>
              <w:ind w:left="356" w:right="2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7840">
              <w:rPr>
                <w:rFonts w:ascii="Times New Roman" w:hAnsi="Times New Roman" w:cs="Times New Roman"/>
                <w:b/>
                <w:sz w:val="24"/>
              </w:rPr>
              <w:t>Görevleri</w:t>
            </w:r>
            <w:r w:rsidR="00263467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Genel Müdürlük merkez ve taşra hizmet birimlerinin ihtiyaç duyduğu bakım onarım/ tadilat ve kiralama işlerine ilişkin yıl bazında talepleri toplamak ve planlamasını yapmak.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 xml:space="preserve">Genel Müdürlük merkez ve taşra hizmet birimlerinin kullanımı için ilave yer tahsisi yapılacak veya kiralanacak alanlara ilişkin gerekli değerlendirmeyi yapmak. </w:t>
            </w:r>
            <w:proofErr w:type="gramStart"/>
            <w:r>
              <w:t xml:space="preserve">Alternatif planlamaları ve senaryoları oluşturmak. </w:t>
            </w:r>
            <w:proofErr w:type="gramEnd"/>
            <w:r>
              <w:t>Kiralanacak veya ilave tahsis edilecek alanın uygun görülmesi durumunda gerekli çalışmaları yürütmek.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Genel Müdürlük merkez ve taşra hizmet birimleri kullanımı adına kiralanacak olan hizmet alanlarının bakım-onarım/tadilat işlerine ilişkin proje, metraj, keşif ve kontrollük hizmetlerini yürütmek. Bu kapsamda merkez - taşra birimleri ve ilgili idareler ile gereken bilgi akışını ve koordinasyonu sağlamak.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Genel Müdürlük merkez ve taşra hizmet birimlerinin kullanımında olan ve/veya ilave tahsis edilecek hizmet alanlarının bakım-onarım/tadilat işlerine ilişkin proje, metraj, keşif ve kontrollük hizmetlerini yürütmek. Bu kapsamda merkez - taşra birimleri ve ilgili idareler ile gereken bilgi akışını ve koordinasyonu sağlamak.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Yürütmüş olduğu/planladığı bakım-onarım/tadilat işlerine ilişkin bütçe ve ödeneğin oluşturulması adına Yatırım Programı (Genel Bütçe – Döner Sermaye Bütçesi) süreçlerini yürütmek. Bu kapsamda merkez - taşra birimleri ve ilgili İdareler ile gereken bilgi akışını ve koordinasyonu sağlamak.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İçişleri Bakanlığınca yürütülmekte olan Hükümet Konakları planlama, projelendirme ve yapım süreçlerine ilişkin gerekli bilgileri periyodik olarak temin ederek taşra hizmet birimleri ile koordinasyonunu sağlamak.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Genel Müdürlük merkez ve taşra hizmet birimleri kullanımı adına kiralanmış/kiralanacak olan taşınmazların onay, sözleşme ve buna bağlı ödeme işlemlerini yürütmek.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Yapacağı/yaptıracağı bakım-onarım/tadilat işlerinde, Genel Müdürlük Mimari Kurumsal Kimliğinin uygulanmasını sağlamak.</w:t>
            </w:r>
            <w:bookmarkStart w:id="0" w:name="_GoBack"/>
            <w:bookmarkEnd w:id="0"/>
          </w:p>
          <w:p w:rsidR="00697EFD" w:rsidRDefault="00697EFD" w:rsidP="00697EFD">
            <w:pPr>
              <w:pStyle w:val="NormalWeb"/>
              <w:spacing w:line="276" w:lineRule="auto"/>
              <w:ind w:left="1080" w:right="260"/>
              <w:jc w:val="both"/>
            </w:pP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İhtiyaç duyulan, bina bazındaki büyük bakım onarım işleri ile ilgili Proje ve Yapım Şube Müdürlüğü ile gerekli koordinasyonu ve iş birliğini sağlamak.</w:t>
            </w:r>
          </w:p>
          <w:p w:rsidR="00D338A7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Genel Müdürlüğümüz Yönetim Bilgi Sistemi altında yer alan Hizmet Binası Envanterine veri girişlerinin yapılmasını sağlamak ve güncelliğini korumak.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 xml:space="preserve">Şube Müdürlüğünce yürütülen işlere ilişkin Performans Raporlamasını oluşturarak </w:t>
            </w:r>
            <w:proofErr w:type="gramStart"/>
            <w:r>
              <w:t>konsolide</w:t>
            </w:r>
            <w:proofErr w:type="gramEnd"/>
            <w:r>
              <w:t xml:space="preserve"> edilmek üzere ilgili birime bildirimini yapmak.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Sorumluluk alanına giren işlere ilişkin periyodik bilgi notlarını oluşturmak ve Üst Yönetim  tarafından talep edilen bilgileri en kısa zamanda sözlü ve/veya yazılı olarak sunmak.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İç Denetim Birimi tarafından düzenlenen denetim ve danışmanlık raporlarının takibini yapmak ve koordinasyonunu sağlamak.</w:t>
            </w:r>
          </w:p>
          <w:p w:rsidR="00CE6EAB" w:rsidRDefault="00CE6EAB" w:rsidP="00D338A7">
            <w:pPr>
              <w:pStyle w:val="NormalWeb"/>
              <w:numPr>
                <w:ilvl w:val="0"/>
                <w:numId w:val="41"/>
              </w:numPr>
              <w:spacing w:line="276" w:lineRule="auto"/>
              <w:ind w:right="260"/>
              <w:jc w:val="both"/>
            </w:pPr>
            <w:r>
              <w:t>Şube Müdürlüğünün görev alanına giren soru önergelerine ilişkin cevabı süresi içerisinde vermek.</w:t>
            </w:r>
          </w:p>
          <w:p w:rsidR="00CE6EAB" w:rsidRPr="00D338A7" w:rsidRDefault="00CE6EAB" w:rsidP="00D338A7">
            <w:pPr>
              <w:pStyle w:val="ListeParagraf"/>
              <w:numPr>
                <w:ilvl w:val="0"/>
                <w:numId w:val="41"/>
              </w:numPr>
              <w:spacing w:line="276" w:lineRule="auto"/>
              <w:ind w:right="260"/>
              <w:jc w:val="both"/>
              <w:rPr>
                <w:rFonts w:ascii="Times New Roman" w:hAnsi="Times New Roman" w:cs="Times New Roman"/>
                <w:sz w:val="24"/>
              </w:rPr>
            </w:pPr>
            <w:r w:rsidRPr="00D338A7">
              <w:rPr>
                <w:rFonts w:ascii="Times New Roman" w:hAnsi="Times New Roman" w:cs="Times New Roman"/>
                <w:sz w:val="24"/>
              </w:rPr>
              <w:t>ISO 45001:2018 İSG Yönetim Sisteminin gereklerini yerine getirmek ve Yönetim Sisteminin gelişmesine katkıda bulunmak amacıyla liderlik eder;</w:t>
            </w:r>
          </w:p>
          <w:p w:rsidR="00D338A7" w:rsidRDefault="00D338A7" w:rsidP="000B7051">
            <w:pPr>
              <w:ind w:left="356" w:right="26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77840" w:rsidRPr="00477840" w:rsidRDefault="00477840" w:rsidP="000B7051">
            <w:pPr>
              <w:ind w:left="356" w:right="2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77840">
              <w:rPr>
                <w:rFonts w:ascii="Times New Roman" w:hAnsi="Times New Roman" w:cs="Times New Roman"/>
                <w:b/>
                <w:sz w:val="24"/>
              </w:rPr>
              <w:t>Yetkileri</w:t>
            </w:r>
          </w:p>
          <w:p w:rsidR="00477840" w:rsidRPr="00477840" w:rsidRDefault="00263467" w:rsidP="000B7051">
            <w:pPr>
              <w:ind w:left="356" w:right="2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Destek Hizmetleri Dairesi Başkanının</w:t>
            </w:r>
            <w:r w:rsidR="00477840" w:rsidRPr="00477840">
              <w:rPr>
                <w:rFonts w:ascii="Times New Roman" w:hAnsi="Times New Roman" w:cs="Times New Roman"/>
                <w:sz w:val="24"/>
              </w:rPr>
              <w:t xml:space="preserve"> vermiş olduğu yetki ve sorumluluklar çerçevesinde çalışır.</w:t>
            </w:r>
          </w:p>
          <w:p w:rsidR="00054C51" w:rsidRPr="001D4084" w:rsidRDefault="00054C51" w:rsidP="000B7051">
            <w:pPr>
              <w:ind w:left="356"/>
              <w:rPr>
                <w:rFonts w:ascii="Times New Roman" w:hAnsi="Times New Roman" w:cs="Times New Roman"/>
                <w:b/>
                <w:sz w:val="24"/>
              </w:rPr>
            </w:pPr>
            <w:r w:rsidRPr="001D4084">
              <w:rPr>
                <w:rFonts w:ascii="Times New Roman" w:hAnsi="Times New Roman" w:cs="Times New Roman"/>
                <w:b/>
                <w:sz w:val="24"/>
              </w:rPr>
              <w:t>Yetki Devri</w:t>
            </w:r>
          </w:p>
          <w:p w:rsidR="00832955" w:rsidRDefault="00054C51" w:rsidP="00D338A7">
            <w:pPr>
              <w:ind w:left="356"/>
              <w:rPr>
                <w:rFonts w:ascii="Times New Roman" w:hAnsi="Times New Roman" w:cs="Times New Roman"/>
                <w:sz w:val="24"/>
              </w:rPr>
            </w:pPr>
            <w:r w:rsidRPr="001D4084">
              <w:rPr>
                <w:rFonts w:ascii="Times New Roman" w:hAnsi="Times New Roman" w:cs="Times New Roman"/>
                <w:sz w:val="24"/>
              </w:rPr>
              <w:t>Yokluğunda yetki ve</w:t>
            </w:r>
            <w:r>
              <w:rPr>
                <w:rFonts w:ascii="Times New Roman" w:hAnsi="Times New Roman" w:cs="Times New Roman"/>
                <w:sz w:val="24"/>
              </w:rPr>
              <w:t xml:space="preserve">receği </w:t>
            </w:r>
            <w:r w:rsidR="00CA1AEA">
              <w:rPr>
                <w:rFonts w:ascii="Times New Roman" w:hAnsi="Times New Roman" w:cs="Times New Roman"/>
                <w:sz w:val="24"/>
              </w:rPr>
              <w:t>Proje ve Yapım Şu</w:t>
            </w:r>
            <w:r>
              <w:rPr>
                <w:rFonts w:ascii="Times New Roman" w:hAnsi="Times New Roman" w:cs="Times New Roman"/>
                <w:sz w:val="24"/>
              </w:rPr>
              <w:t xml:space="preserve">be </w:t>
            </w:r>
            <w:r w:rsidR="00CA1AEA">
              <w:rPr>
                <w:rFonts w:ascii="Times New Roman" w:hAnsi="Times New Roman" w:cs="Times New Roman"/>
                <w:sz w:val="24"/>
              </w:rPr>
              <w:t xml:space="preserve">Müdürü veya birim </w:t>
            </w:r>
            <w:r>
              <w:rPr>
                <w:rFonts w:ascii="Times New Roman" w:hAnsi="Times New Roman" w:cs="Times New Roman"/>
                <w:sz w:val="24"/>
              </w:rPr>
              <w:t>personeli yetki ve</w:t>
            </w:r>
            <w:r w:rsidRPr="001D4084">
              <w:rPr>
                <w:rFonts w:ascii="Times New Roman" w:hAnsi="Times New Roman" w:cs="Times New Roman"/>
                <w:sz w:val="24"/>
              </w:rPr>
              <w:t xml:space="preserve"> sorumluluklarını devralır.</w:t>
            </w:r>
          </w:p>
          <w:p w:rsidR="00832955" w:rsidRDefault="00832955" w:rsidP="00263467">
            <w:pPr>
              <w:ind w:right="2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32955" w:rsidRDefault="00832955" w:rsidP="00263467">
            <w:pPr>
              <w:ind w:right="2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38A7" w:rsidRDefault="00D338A7" w:rsidP="00263467">
            <w:pPr>
              <w:ind w:right="2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38A7" w:rsidRDefault="00D338A7" w:rsidP="00263467">
            <w:pPr>
              <w:ind w:right="2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D338A7" w:rsidRPr="00477840" w:rsidRDefault="00D338A7" w:rsidP="00263467">
            <w:pPr>
              <w:ind w:right="2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7840" w:rsidRDefault="00477840" w:rsidP="00263467">
      <w:pPr>
        <w:ind w:right="260"/>
        <w:jc w:val="both"/>
        <w:rPr>
          <w:rFonts w:asciiTheme="majorHAnsi" w:hAnsiTheme="majorHAnsi" w:cstheme="majorHAnsi"/>
          <w:b/>
        </w:rPr>
      </w:pPr>
    </w:p>
    <w:p w:rsidR="00477840" w:rsidRDefault="00477840" w:rsidP="00263467">
      <w:pPr>
        <w:ind w:right="260"/>
        <w:jc w:val="both"/>
        <w:rPr>
          <w:rFonts w:asciiTheme="majorHAnsi" w:hAnsiTheme="majorHAnsi" w:cstheme="majorHAnsi"/>
          <w:b/>
        </w:rPr>
      </w:pPr>
    </w:p>
    <w:sectPr w:rsidR="00477840" w:rsidSect="0004065B">
      <w:headerReference w:type="default" r:id="rId7"/>
      <w:footerReference w:type="default" r:id="rId8"/>
      <w:pgSz w:w="11906" w:h="16838"/>
      <w:pgMar w:top="1418" w:right="1418" w:bottom="720" w:left="1418" w:header="79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AB" w:rsidRDefault="00CE6EAB" w:rsidP="00EA7C1F">
      <w:pPr>
        <w:spacing w:after="0" w:line="240" w:lineRule="auto"/>
      </w:pPr>
      <w:r>
        <w:separator/>
      </w:r>
    </w:p>
  </w:endnote>
  <w:endnote w:type="continuationSeparator" w:id="1">
    <w:p w:rsidR="00CE6EAB" w:rsidRDefault="00CE6EAB" w:rsidP="00EA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4978"/>
      <w:gridCol w:w="5087"/>
    </w:tblGrid>
    <w:tr w:rsidR="00BC7278" w:rsidRPr="00AE2480" w:rsidTr="00697EFD">
      <w:trPr>
        <w:trHeight w:hRule="exact" w:val="314"/>
      </w:trPr>
      <w:tc>
        <w:tcPr>
          <w:tcW w:w="4978" w:type="dxa"/>
          <w:shd w:val="clear" w:color="auto" w:fill="FF7300"/>
          <w:vAlign w:val="center"/>
        </w:tcPr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087" w:type="dxa"/>
          <w:shd w:val="clear" w:color="auto" w:fill="FF7300"/>
          <w:vAlign w:val="center"/>
        </w:tcPr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BC7278" w:rsidRPr="00AE2480" w:rsidRDefault="00BC7278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BC7278" w:rsidRPr="00AE2480" w:rsidTr="00697EFD">
      <w:trPr>
        <w:trHeight w:val="790"/>
      </w:trPr>
      <w:tc>
        <w:tcPr>
          <w:tcW w:w="4978" w:type="dxa"/>
        </w:tcPr>
        <w:p w:rsidR="00BC7278" w:rsidRPr="009D7BAD" w:rsidRDefault="00BC727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BC7278" w:rsidRPr="009D7BAD" w:rsidRDefault="00BC727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087" w:type="dxa"/>
        </w:tcPr>
        <w:p w:rsidR="00BC7278" w:rsidRPr="009D7BAD" w:rsidRDefault="00BC727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BC7278" w:rsidRPr="009D7BAD" w:rsidRDefault="00BC727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CE6EAB" w:rsidRDefault="00CE6EA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AB" w:rsidRDefault="00CE6EAB" w:rsidP="00EA7C1F">
      <w:pPr>
        <w:spacing w:after="0" w:line="240" w:lineRule="auto"/>
      </w:pPr>
      <w:r>
        <w:separator/>
      </w:r>
    </w:p>
  </w:footnote>
  <w:footnote w:type="continuationSeparator" w:id="1">
    <w:p w:rsidR="00CE6EAB" w:rsidRDefault="00CE6EAB" w:rsidP="00EA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5" w:type="dxa"/>
      <w:tblInd w:w="-49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004"/>
      <w:gridCol w:w="4091"/>
      <w:gridCol w:w="1843"/>
      <w:gridCol w:w="2307"/>
    </w:tblGrid>
    <w:tr w:rsidR="00CE6EAB" w:rsidRPr="00A13C49" w:rsidTr="00697EFD">
      <w:trPr>
        <w:cantSplit/>
        <w:trHeight w:hRule="exact" w:val="340"/>
      </w:trPr>
      <w:tc>
        <w:tcPr>
          <w:tcW w:w="2004" w:type="dxa"/>
          <w:vMerge w:val="restart"/>
          <w:shd w:val="clear" w:color="auto" w:fill="FFFFFF"/>
          <w:vAlign w:val="center"/>
        </w:tcPr>
        <w:p w:rsidR="00CE6EAB" w:rsidRPr="004C4A80" w:rsidRDefault="00CE6EAB" w:rsidP="00A021A1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-753110</wp:posOffset>
                </wp:positionV>
                <wp:extent cx="990600" cy="842645"/>
                <wp:effectExtent l="19050" t="0" r="0" b="0"/>
                <wp:wrapThrough wrapText="bothSides">
                  <wp:wrapPolygon edited="0">
                    <wp:start x="-415" y="0"/>
                    <wp:lineTo x="-415" y="20998"/>
                    <wp:lineTo x="21600" y="20998"/>
                    <wp:lineTo x="21600" y="0"/>
                    <wp:lineTo x="-415" y="0"/>
                  </wp:wrapPolygon>
                </wp:wrapThrough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1" w:type="dxa"/>
          <w:vMerge w:val="restart"/>
          <w:shd w:val="clear" w:color="auto" w:fill="ED7D31" w:themeFill="accent2"/>
          <w:vAlign w:val="center"/>
        </w:tcPr>
        <w:p w:rsidR="00CE6EAB" w:rsidRPr="00EC03FB" w:rsidRDefault="00CE6EAB" w:rsidP="00A021A1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CE6EAB" w:rsidRPr="00470889" w:rsidRDefault="00CE6EAB" w:rsidP="00A021A1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CE6EAB" w:rsidRPr="00910679" w:rsidRDefault="00CE6EAB" w:rsidP="00A021A1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307" w:type="dxa"/>
          <w:shd w:val="clear" w:color="auto" w:fill="FFFFFF"/>
          <w:vAlign w:val="center"/>
        </w:tcPr>
        <w:p w:rsidR="00CE6EAB" w:rsidRPr="00910679" w:rsidRDefault="00CE6EAB" w:rsidP="00A021A1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CE6EAB" w:rsidRPr="00A13C49" w:rsidTr="00697EFD">
      <w:trPr>
        <w:cantSplit/>
        <w:trHeight w:hRule="exact" w:val="340"/>
      </w:trPr>
      <w:tc>
        <w:tcPr>
          <w:tcW w:w="2004" w:type="dxa"/>
          <w:vMerge/>
          <w:shd w:val="clear" w:color="auto" w:fill="FFFFFF"/>
          <w:vAlign w:val="center"/>
        </w:tcPr>
        <w:p w:rsidR="00CE6EAB" w:rsidRPr="00A13C49" w:rsidRDefault="00CE6EAB" w:rsidP="00A021A1">
          <w:pPr>
            <w:jc w:val="center"/>
          </w:pPr>
        </w:p>
      </w:tc>
      <w:tc>
        <w:tcPr>
          <w:tcW w:w="4091" w:type="dxa"/>
          <w:vMerge/>
          <w:shd w:val="clear" w:color="auto" w:fill="ED7D31" w:themeFill="accent2"/>
        </w:tcPr>
        <w:p w:rsidR="00CE6EAB" w:rsidRPr="00D3002A" w:rsidRDefault="00CE6EAB" w:rsidP="00A021A1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E6EAB" w:rsidRPr="00910679" w:rsidRDefault="00CE6EAB" w:rsidP="00A021A1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307" w:type="dxa"/>
          <w:shd w:val="clear" w:color="auto" w:fill="FFFFFF"/>
          <w:vAlign w:val="center"/>
        </w:tcPr>
        <w:p w:rsidR="00CE6EAB" w:rsidRPr="004758D2" w:rsidRDefault="00CE6EAB" w:rsidP="00A021A1">
          <w:pPr>
            <w:pStyle w:val="Balk3"/>
            <w:rPr>
              <w:rFonts w:ascii="Times New Roman" w:hAnsi="Times New Roman"/>
              <w:sz w:val="20"/>
              <w:szCs w:val="24"/>
            </w:rPr>
          </w:pPr>
          <w:proofErr w:type="gramStart"/>
          <w:r w:rsidRPr="00070448">
            <w:rPr>
              <w:rFonts w:ascii="Times New Roman" w:hAnsi="Times New Roman"/>
              <w:sz w:val="22"/>
              <w:szCs w:val="24"/>
            </w:rPr>
            <w:t>99445787</w:t>
          </w:r>
          <w:proofErr w:type="gramEnd"/>
          <w:r>
            <w:rPr>
              <w:rFonts w:ascii="Times New Roman" w:hAnsi="Times New Roman"/>
              <w:sz w:val="22"/>
              <w:szCs w:val="24"/>
            </w:rPr>
            <w:t>-</w:t>
          </w:r>
          <w:r w:rsidRPr="00070448">
            <w:rPr>
              <w:rFonts w:ascii="Times New Roman" w:hAnsi="Times New Roman"/>
              <w:sz w:val="22"/>
              <w:szCs w:val="24"/>
            </w:rPr>
            <w:t>GT</w:t>
          </w:r>
          <w:r>
            <w:rPr>
              <w:rFonts w:ascii="Times New Roman" w:hAnsi="Times New Roman"/>
              <w:sz w:val="22"/>
              <w:szCs w:val="24"/>
            </w:rPr>
            <w:t>.</w:t>
          </w:r>
          <w:r w:rsidR="00702862">
            <w:rPr>
              <w:rFonts w:ascii="Times New Roman" w:hAnsi="Times New Roman"/>
              <w:sz w:val="22"/>
              <w:szCs w:val="24"/>
            </w:rPr>
            <w:t>0</w:t>
          </w:r>
          <w:r w:rsidR="002F4AC8">
            <w:rPr>
              <w:rFonts w:ascii="Times New Roman" w:hAnsi="Times New Roman"/>
              <w:sz w:val="22"/>
              <w:szCs w:val="24"/>
            </w:rPr>
            <w:t>01</w:t>
          </w:r>
        </w:p>
      </w:tc>
    </w:tr>
    <w:tr w:rsidR="00CE6EAB" w:rsidRPr="00A13C49" w:rsidTr="00697EFD">
      <w:trPr>
        <w:cantSplit/>
        <w:trHeight w:hRule="exact" w:val="340"/>
      </w:trPr>
      <w:tc>
        <w:tcPr>
          <w:tcW w:w="2004" w:type="dxa"/>
          <w:vMerge/>
          <w:shd w:val="clear" w:color="auto" w:fill="FFFFFF"/>
          <w:vAlign w:val="center"/>
        </w:tcPr>
        <w:p w:rsidR="00CE6EAB" w:rsidRPr="00A13C49" w:rsidRDefault="00CE6EAB" w:rsidP="00A021A1">
          <w:pPr>
            <w:jc w:val="center"/>
          </w:pPr>
        </w:p>
      </w:tc>
      <w:tc>
        <w:tcPr>
          <w:tcW w:w="4091" w:type="dxa"/>
          <w:vMerge/>
          <w:shd w:val="clear" w:color="auto" w:fill="ED7D31" w:themeFill="accent2"/>
        </w:tcPr>
        <w:p w:rsidR="00CE6EAB" w:rsidRPr="0007787B" w:rsidRDefault="00CE6EAB" w:rsidP="00A021A1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E6EAB" w:rsidRPr="00910679" w:rsidRDefault="00CE6EAB" w:rsidP="00A021A1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307" w:type="dxa"/>
          <w:shd w:val="clear" w:color="auto" w:fill="FFFFFF"/>
          <w:vAlign w:val="center"/>
        </w:tcPr>
        <w:p w:rsidR="00CE6EAB" w:rsidRPr="00910679" w:rsidRDefault="00CE6EAB" w:rsidP="00A021A1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CE6EAB" w:rsidRPr="00A13C49" w:rsidTr="00697EFD">
      <w:trPr>
        <w:cantSplit/>
        <w:trHeight w:hRule="exact" w:val="340"/>
      </w:trPr>
      <w:tc>
        <w:tcPr>
          <w:tcW w:w="2004" w:type="dxa"/>
          <w:vMerge/>
          <w:shd w:val="clear" w:color="auto" w:fill="FFFFFF"/>
          <w:vAlign w:val="center"/>
        </w:tcPr>
        <w:p w:rsidR="00CE6EAB" w:rsidRPr="00A13C49" w:rsidRDefault="00CE6EAB" w:rsidP="00A021A1">
          <w:pPr>
            <w:jc w:val="center"/>
          </w:pPr>
        </w:p>
      </w:tc>
      <w:tc>
        <w:tcPr>
          <w:tcW w:w="4091" w:type="dxa"/>
          <w:vMerge/>
          <w:shd w:val="clear" w:color="auto" w:fill="ED7D31" w:themeFill="accent2"/>
        </w:tcPr>
        <w:p w:rsidR="00CE6EAB" w:rsidRPr="0007787B" w:rsidRDefault="00CE6EAB" w:rsidP="00A021A1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E6EAB" w:rsidRPr="00910679" w:rsidRDefault="00CE6EAB" w:rsidP="00A021A1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gramEnd"/>
        </w:p>
      </w:tc>
      <w:tc>
        <w:tcPr>
          <w:tcW w:w="2307" w:type="dxa"/>
          <w:shd w:val="clear" w:color="auto" w:fill="FFFFFF"/>
          <w:vAlign w:val="center"/>
        </w:tcPr>
        <w:p w:rsidR="00CE6EAB" w:rsidRPr="00910679" w:rsidRDefault="00CE6EAB" w:rsidP="00A021A1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</w:tc>
    </w:tr>
    <w:tr w:rsidR="00CE6EAB" w:rsidRPr="00A13C49" w:rsidTr="00697EFD">
      <w:trPr>
        <w:cantSplit/>
        <w:trHeight w:hRule="exact" w:val="340"/>
      </w:trPr>
      <w:tc>
        <w:tcPr>
          <w:tcW w:w="2004" w:type="dxa"/>
          <w:vMerge/>
          <w:shd w:val="clear" w:color="auto" w:fill="FFFFFF"/>
          <w:vAlign w:val="center"/>
        </w:tcPr>
        <w:p w:rsidR="00CE6EAB" w:rsidRPr="00A13C49" w:rsidRDefault="00CE6EAB" w:rsidP="00A021A1">
          <w:pPr>
            <w:jc w:val="center"/>
          </w:pPr>
        </w:p>
      </w:tc>
      <w:tc>
        <w:tcPr>
          <w:tcW w:w="4091" w:type="dxa"/>
          <w:vMerge/>
          <w:shd w:val="clear" w:color="auto" w:fill="ED7D31" w:themeFill="accent2"/>
        </w:tcPr>
        <w:p w:rsidR="00CE6EAB" w:rsidRPr="0007787B" w:rsidRDefault="00CE6EAB" w:rsidP="00A021A1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CE6EAB" w:rsidRPr="00910679" w:rsidRDefault="00CE6EAB" w:rsidP="00A021A1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307" w:type="dxa"/>
          <w:shd w:val="clear" w:color="auto" w:fill="FFFFFF"/>
          <w:vAlign w:val="center"/>
        </w:tcPr>
        <w:p w:rsidR="00CE6EAB" w:rsidRPr="00910679" w:rsidRDefault="00BD5999" w:rsidP="00A021A1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CE6EAB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E7A4B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CE6EAB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BE7A4B" w:rsidRPr="00BE7A4B">
              <w:rPr>
                <w:rFonts w:ascii="Times New Roman" w:hAnsi="Times New Roman"/>
                <w:b/>
                <w:bCs/>
                <w:noProof/>
                <w:szCs w:val="24"/>
              </w:rPr>
              <w:t>2</w:t>
            </w:r>
          </w:fldSimple>
        </w:p>
      </w:tc>
    </w:tr>
    <w:tr w:rsidR="00CE6EAB" w:rsidRPr="00A13C49" w:rsidTr="00697EFD">
      <w:trPr>
        <w:cantSplit/>
        <w:trHeight w:hRule="exact" w:val="567"/>
      </w:trPr>
      <w:tc>
        <w:tcPr>
          <w:tcW w:w="2004" w:type="dxa"/>
          <w:shd w:val="clear" w:color="auto" w:fill="FFFFFF"/>
          <w:vAlign w:val="center"/>
        </w:tcPr>
        <w:p w:rsidR="00CE6EAB" w:rsidRDefault="00CE6EAB" w:rsidP="00A021A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1" w:type="dxa"/>
          <w:gridSpan w:val="3"/>
          <w:shd w:val="clear" w:color="auto" w:fill="FFFFFF"/>
          <w:vAlign w:val="center"/>
        </w:tcPr>
        <w:p w:rsidR="00CE6EAB" w:rsidRPr="00382518" w:rsidRDefault="000F755C" w:rsidP="00263467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  <w:szCs w:val="18"/>
            </w:rPr>
            <w:t xml:space="preserve">İSG </w:t>
          </w:r>
          <w:r w:rsidR="00CE6EAB" w:rsidRPr="00382518">
            <w:rPr>
              <w:rFonts w:ascii="Times New Roman" w:hAnsi="Times New Roman" w:cs="Times New Roman"/>
              <w:b/>
              <w:color w:val="0070C0"/>
              <w:sz w:val="24"/>
              <w:szCs w:val="18"/>
            </w:rPr>
            <w:t xml:space="preserve">BAKIM ONARIM </w:t>
          </w:r>
          <w:r w:rsidR="00263467" w:rsidRPr="00382518">
            <w:rPr>
              <w:rFonts w:ascii="Times New Roman" w:hAnsi="Times New Roman" w:cs="Times New Roman"/>
              <w:b/>
              <w:color w:val="0070C0"/>
              <w:sz w:val="24"/>
              <w:szCs w:val="18"/>
            </w:rPr>
            <w:t>ŞUBE MÜDÜRÜ</w:t>
          </w:r>
          <w:r w:rsidR="00CE6EAB" w:rsidRPr="00382518">
            <w:rPr>
              <w:rFonts w:ascii="Times New Roman" w:hAnsi="Times New Roman" w:cs="Times New Roman"/>
              <w:b/>
              <w:color w:val="0070C0"/>
              <w:sz w:val="24"/>
              <w:szCs w:val="18"/>
            </w:rPr>
            <w:t xml:space="preserve"> GÖREV TANIMI</w:t>
          </w:r>
        </w:p>
      </w:tc>
    </w:tr>
  </w:tbl>
  <w:p w:rsidR="00CE6EAB" w:rsidRDefault="00CE6EAB" w:rsidP="000C641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A5A"/>
    <w:multiLevelType w:val="hybridMultilevel"/>
    <w:tmpl w:val="D5E69A9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54DF"/>
    <w:multiLevelType w:val="hybridMultilevel"/>
    <w:tmpl w:val="78D2A3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11C4A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166F1"/>
    <w:multiLevelType w:val="hybridMultilevel"/>
    <w:tmpl w:val="F1A25CC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3783"/>
    <w:multiLevelType w:val="hybridMultilevel"/>
    <w:tmpl w:val="91340B1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954B5"/>
    <w:multiLevelType w:val="hybridMultilevel"/>
    <w:tmpl w:val="D908B3B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A30E4"/>
    <w:multiLevelType w:val="hybridMultilevel"/>
    <w:tmpl w:val="B6C2A3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E0C33"/>
    <w:multiLevelType w:val="hybridMultilevel"/>
    <w:tmpl w:val="3F52A5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C42FF"/>
    <w:multiLevelType w:val="hybridMultilevel"/>
    <w:tmpl w:val="CA6AC19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394F"/>
    <w:multiLevelType w:val="hybridMultilevel"/>
    <w:tmpl w:val="9F74D09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62674"/>
    <w:multiLevelType w:val="hybridMultilevel"/>
    <w:tmpl w:val="BBCE57B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B640D3"/>
    <w:multiLevelType w:val="hybridMultilevel"/>
    <w:tmpl w:val="3C9C7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6173B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46AC3"/>
    <w:multiLevelType w:val="hybridMultilevel"/>
    <w:tmpl w:val="2F18FF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35C1F"/>
    <w:multiLevelType w:val="hybridMultilevel"/>
    <w:tmpl w:val="9674668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665F1"/>
    <w:multiLevelType w:val="hybridMultilevel"/>
    <w:tmpl w:val="456468E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471AD"/>
    <w:multiLevelType w:val="hybridMultilevel"/>
    <w:tmpl w:val="83F6D3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B57E2"/>
    <w:multiLevelType w:val="hybridMultilevel"/>
    <w:tmpl w:val="651671E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D5D4C"/>
    <w:multiLevelType w:val="hybridMultilevel"/>
    <w:tmpl w:val="E69A47F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85D41"/>
    <w:multiLevelType w:val="hybridMultilevel"/>
    <w:tmpl w:val="A0CC3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404D6"/>
    <w:multiLevelType w:val="hybridMultilevel"/>
    <w:tmpl w:val="6FD4793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57B20"/>
    <w:multiLevelType w:val="hybridMultilevel"/>
    <w:tmpl w:val="93B2A12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7712F"/>
    <w:multiLevelType w:val="hybridMultilevel"/>
    <w:tmpl w:val="BD98F40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6B1E7F"/>
    <w:multiLevelType w:val="hybridMultilevel"/>
    <w:tmpl w:val="28D28C6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55CD3"/>
    <w:multiLevelType w:val="hybridMultilevel"/>
    <w:tmpl w:val="9B48C51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F209F"/>
    <w:multiLevelType w:val="hybridMultilevel"/>
    <w:tmpl w:val="57E09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904D5"/>
    <w:multiLevelType w:val="hybridMultilevel"/>
    <w:tmpl w:val="304AD32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477D7"/>
    <w:multiLevelType w:val="hybridMultilevel"/>
    <w:tmpl w:val="982C416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2C7C80"/>
    <w:multiLevelType w:val="hybridMultilevel"/>
    <w:tmpl w:val="1CDA4D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33BA1"/>
    <w:multiLevelType w:val="hybridMultilevel"/>
    <w:tmpl w:val="9C6A00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939A1"/>
    <w:multiLevelType w:val="hybridMultilevel"/>
    <w:tmpl w:val="48D80A5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12E0D"/>
    <w:multiLevelType w:val="hybridMultilevel"/>
    <w:tmpl w:val="DCBE1E7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0F3D22"/>
    <w:multiLevelType w:val="hybridMultilevel"/>
    <w:tmpl w:val="498CD3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71671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77AA2"/>
    <w:multiLevelType w:val="hybridMultilevel"/>
    <w:tmpl w:val="F8F67FA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E09E2"/>
    <w:multiLevelType w:val="hybridMultilevel"/>
    <w:tmpl w:val="B94AD10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E0E47"/>
    <w:multiLevelType w:val="hybridMultilevel"/>
    <w:tmpl w:val="92E604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BD545E"/>
    <w:multiLevelType w:val="hybridMultilevel"/>
    <w:tmpl w:val="5BF0843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23FCC"/>
    <w:multiLevelType w:val="hybridMultilevel"/>
    <w:tmpl w:val="8C8EB94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2195D"/>
    <w:multiLevelType w:val="hybridMultilevel"/>
    <w:tmpl w:val="676AE05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80B2A"/>
    <w:multiLevelType w:val="hybridMultilevel"/>
    <w:tmpl w:val="04B6FC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1"/>
  </w:num>
  <w:num w:numId="4">
    <w:abstractNumId w:val="18"/>
  </w:num>
  <w:num w:numId="5">
    <w:abstractNumId w:val="0"/>
  </w:num>
  <w:num w:numId="6">
    <w:abstractNumId w:val="20"/>
  </w:num>
  <w:num w:numId="7">
    <w:abstractNumId w:val="23"/>
  </w:num>
  <w:num w:numId="8">
    <w:abstractNumId w:val="7"/>
  </w:num>
  <w:num w:numId="9">
    <w:abstractNumId w:val="29"/>
  </w:num>
  <w:num w:numId="10">
    <w:abstractNumId w:val="26"/>
  </w:num>
  <w:num w:numId="11">
    <w:abstractNumId w:val="19"/>
  </w:num>
  <w:num w:numId="12">
    <w:abstractNumId w:val="16"/>
  </w:num>
  <w:num w:numId="13">
    <w:abstractNumId w:val="22"/>
  </w:num>
  <w:num w:numId="14">
    <w:abstractNumId w:val="4"/>
  </w:num>
  <w:num w:numId="15">
    <w:abstractNumId w:val="6"/>
  </w:num>
  <w:num w:numId="16">
    <w:abstractNumId w:val="21"/>
  </w:num>
  <w:num w:numId="17">
    <w:abstractNumId w:val="34"/>
  </w:num>
  <w:num w:numId="18">
    <w:abstractNumId w:val="28"/>
  </w:num>
  <w:num w:numId="19">
    <w:abstractNumId w:val="38"/>
  </w:num>
  <w:num w:numId="20">
    <w:abstractNumId w:val="27"/>
  </w:num>
  <w:num w:numId="21">
    <w:abstractNumId w:val="14"/>
  </w:num>
  <w:num w:numId="22">
    <w:abstractNumId w:val="30"/>
  </w:num>
  <w:num w:numId="23">
    <w:abstractNumId w:val="3"/>
  </w:num>
  <w:num w:numId="24">
    <w:abstractNumId w:val="8"/>
  </w:num>
  <w:num w:numId="25">
    <w:abstractNumId w:val="24"/>
  </w:num>
  <w:num w:numId="26">
    <w:abstractNumId w:val="35"/>
  </w:num>
  <w:num w:numId="27">
    <w:abstractNumId w:val="15"/>
  </w:num>
  <w:num w:numId="28">
    <w:abstractNumId w:val="31"/>
  </w:num>
  <w:num w:numId="29">
    <w:abstractNumId w:val="5"/>
  </w:num>
  <w:num w:numId="30">
    <w:abstractNumId w:val="33"/>
  </w:num>
  <w:num w:numId="31">
    <w:abstractNumId w:val="2"/>
  </w:num>
  <w:num w:numId="32">
    <w:abstractNumId w:val="12"/>
  </w:num>
  <w:num w:numId="33">
    <w:abstractNumId w:val="37"/>
  </w:num>
  <w:num w:numId="34">
    <w:abstractNumId w:val="11"/>
  </w:num>
  <w:num w:numId="35">
    <w:abstractNumId w:val="13"/>
  </w:num>
  <w:num w:numId="36">
    <w:abstractNumId w:val="40"/>
  </w:num>
  <w:num w:numId="37">
    <w:abstractNumId w:val="25"/>
  </w:num>
  <w:num w:numId="38">
    <w:abstractNumId w:val="17"/>
  </w:num>
  <w:num w:numId="39">
    <w:abstractNumId w:val="36"/>
  </w:num>
  <w:num w:numId="40">
    <w:abstractNumId w:val="32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33177C"/>
    <w:rsid w:val="000024FA"/>
    <w:rsid w:val="0004065B"/>
    <w:rsid w:val="00054C51"/>
    <w:rsid w:val="00070448"/>
    <w:rsid w:val="000B7051"/>
    <w:rsid w:val="000C6413"/>
    <w:rsid w:val="000F201E"/>
    <w:rsid w:val="000F755C"/>
    <w:rsid w:val="00130607"/>
    <w:rsid w:val="00164472"/>
    <w:rsid w:val="001C7853"/>
    <w:rsid w:val="00210761"/>
    <w:rsid w:val="00211264"/>
    <w:rsid w:val="00230277"/>
    <w:rsid w:val="00263467"/>
    <w:rsid w:val="002663F5"/>
    <w:rsid w:val="002C4A92"/>
    <w:rsid w:val="002C7B4E"/>
    <w:rsid w:val="002F4AC8"/>
    <w:rsid w:val="00305A6C"/>
    <w:rsid w:val="0033177C"/>
    <w:rsid w:val="0036295F"/>
    <w:rsid w:val="00380486"/>
    <w:rsid w:val="00382518"/>
    <w:rsid w:val="003B09E7"/>
    <w:rsid w:val="003B4733"/>
    <w:rsid w:val="003E4A36"/>
    <w:rsid w:val="00445F3F"/>
    <w:rsid w:val="0046664A"/>
    <w:rsid w:val="004758D2"/>
    <w:rsid w:val="00477840"/>
    <w:rsid w:val="004D0E8E"/>
    <w:rsid w:val="00506A08"/>
    <w:rsid w:val="0051604D"/>
    <w:rsid w:val="005A25E0"/>
    <w:rsid w:val="00616879"/>
    <w:rsid w:val="00697EFD"/>
    <w:rsid w:val="006A29F5"/>
    <w:rsid w:val="006B4E9E"/>
    <w:rsid w:val="00702862"/>
    <w:rsid w:val="00704956"/>
    <w:rsid w:val="007476C3"/>
    <w:rsid w:val="007A2A56"/>
    <w:rsid w:val="007F7A9C"/>
    <w:rsid w:val="00806275"/>
    <w:rsid w:val="00832955"/>
    <w:rsid w:val="008663BE"/>
    <w:rsid w:val="008752F0"/>
    <w:rsid w:val="00876979"/>
    <w:rsid w:val="00886F53"/>
    <w:rsid w:val="009219B5"/>
    <w:rsid w:val="00952D37"/>
    <w:rsid w:val="009956F2"/>
    <w:rsid w:val="00A021A1"/>
    <w:rsid w:val="00A252AD"/>
    <w:rsid w:val="00A81F5F"/>
    <w:rsid w:val="00B142DB"/>
    <w:rsid w:val="00B35F59"/>
    <w:rsid w:val="00BC7278"/>
    <w:rsid w:val="00BD5999"/>
    <w:rsid w:val="00BE7A4B"/>
    <w:rsid w:val="00C05D06"/>
    <w:rsid w:val="00C33BFB"/>
    <w:rsid w:val="00C64387"/>
    <w:rsid w:val="00C933FF"/>
    <w:rsid w:val="00CA1AEA"/>
    <w:rsid w:val="00CA2641"/>
    <w:rsid w:val="00CD2ECC"/>
    <w:rsid w:val="00CE233E"/>
    <w:rsid w:val="00CE6EAB"/>
    <w:rsid w:val="00D01663"/>
    <w:rsid w:val="00D338A7"/>
    <w:rsid w:val="00D6639D"/>
    <w:rsid w:val="00D925CA"/>
    <w:rsid w:val="00DB1301"/>
    <w:rsid w:val="00DE4FEA"/>
    <w:rsid w:val="00E228F3"/>
    <w:rsid w:val="00E244BC"/>
    <w:rsid w:val="00E64484"/>
    <w:rsid w:val="00EA7C1F"/>
    <w:rsid w:val="00EB55A4"/>
    <w:rsid w:val="00EC144A"/>
    <w:rsid w:val="00EF3D0F"/>
    <w:rsid w:val="00F04E96"/>
    <w:rsid w:val="00F2202C"/>
    <w:rsid w:val="00F40A94"/>
    <w:rsid w:val="00F40EA5"/>
    <w:rsid w:val="00F50C42"/>
    <w:rsid w:val="00F57173"/>
    <w:rsid w:val="00F922AC"/>
    <w:rsid w:val="00FA0F4B"/>
    <w:rsid w:val="00FB2607"/>
    <w:rsid w:val="00FC5BCE"/>
    <w:rsid w:val="00FE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96"/>
  </w:style>
  <w:style w:type="paragraph" w:styleId="Balk3">
    <w:name w:val="heading 3"/>
    <w:basedOn w:val="Normal"/>
    <w:next w:val="Normal"/>
    <w:link w:val="Balk3Char"/>
    <w:qFormat/>
    <w:rsid w:val="00477840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1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EB55A4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7C1F"/>
  </w:style>
  <w:style w:type="paragraph" w:styleId="Altbilgi">
    <w:name w:val="footer"/>
    <w:basedOn w:val="Normal"/>
    <w:link w:val="AltbilgiChar"/>
    <w:uiPriority w:val="99"/>
    <w:unhideWhenUsed/>
    <w:rsid w:val="00EA7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7C1F"/>
  </w:style>
  <w:style w:type="paragraph" w:styleId="ListeParagraf">
    <w:name w:val="List Paragraph"/>
    <w:basedOn w:val="Normal"/>
    <w:uiPriority w:val="34"/>
    <w:qFormat/>
    <w:rsid w:val="00F04E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477840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tk34756</cp:lastModifiedBy>
  <cp:revision>54</cp:revision>
  <cp:lastPrinted>2022-01-18T13:38:00Z</cp:lastPrinted>
  <dcterms:created xsi:type="dcterms:W3CDTF">2018-09-18T07:07:00Z</dcterms:created>
  <dcterms:modified xsi:type="dcterms:W3CDTF">2022-01-18T13:38:00Z</dcterms:modified>
</cp:coreProperties>
</file>