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51" w:rsidRDefault="00442451" w:rsidP="003C0831">
      <w:pPr>
        <w:pStyle w:val="Balk2"/>
        <w:rPr>
          <w:rFonts w:ascii="Times New Roman" w:hAnsi="Times New Roman" w:cs="Times New Roman"/>
          <w:bCs w:val="0"/>
          <w:color w:val="auto"/>
          <w:sz w:val="24"/>
          <w:szCs w:val="24"/>
        </w:rPr>
      </w:pPr>
      <w:bookmarkStart w:id="0" w:name="_Toc28329595"/>
      <w:bookmarkStart w:id="1" w:name="_Toc29292880"/>
      <w:bookmarkStart w:id="2" w:name="_Toc29292975"/>
      <w:r w:rsidRPr="00442451">
        <w:rPr>
          <w:rFonts w:ascii="Times New Roman" w:hAnsi="Times New Roman" w:cs="Times New Roman"/>
          <w:bCs w:val="0"/>
          <w:color w:val="auto"/>
          <w:sz w:val="24"/>
          <w:szCs w:val="24"/>
          <w:highlight w:val="yellow"/>
        </w:rPr>
        <w:t>PERSONEL LİSTESİ OLUŞUMUNDA ZEYİLNAME-1 DİKKATE ALINMALIDIR.</w:t>
      </w:r>
    </w:p>
    <w:p w:rsidR="00442451" w:rsidRDefault="00442451" w:rsidP="003C0831">
      <w:pPr>
        <w:pStyle w:val="Balk2"/>
        <w:rPr>
          <w:rFonts w:ascii="Times New Roman" w:hAnsi="Times New Roman" w:cs="Times New Roman"/>
          <w:bCs w:val="0"/>
          <w:color w:val="auto"/>
          <w:sz w:val="24"/>
          <w:szCs w:val="24"/>
        </w:rPr>
      </w:pPr>
    </w:p>
    <w:p w:rsidR="003C0831" w:rsidRPr="003C15D4" w:rsidRDefault="003C0831" w:rsidP="003C0831">
      <w:pPr>
        <w:pStyle w:val="Balk2"/>
        <w:rPr>
          <w:rFonts w:ascii="Times New Roman" w:hAnsi="Times New Roman" w:cs="Times New Roman"/>
          <w:bCs w:val="0"/>
          <w:color w:val="auto"/>
          <w:sz w:val="24"/>
          <w:szCs w:val="24"/>
        </w:rPr>
      </w:pPr>
      <w:r w:rsidRPr="003C15D4">
        <w:rPr>
          <w:rFonts w:ascii="Times New Roman" w:hAnsi="Times New Roman" w:cs="Times New Roman"/>
          <w:bCs w:val="0"/>
          <w:color w:val="auto"/>
          <w:sz w:val="24"/>
          <w:szCs w:val="24"/>
        </w:rPr>
        <w:t>35.5 Sözleşmenin Yürütülmesi İçin Gereken Anahtar Teknik Personel</w:t>
      </w:r>
      <w:bookmarkEnd w:id="0"/>
      <w:bookmarkEnd w:id="1"/>
      <w:bookmarkEnd w:id="2"/>
    </w:p>
    <w:p w:rsidR="003C0831" w:rsidRPr="00BB0765" w:rsidRDefault="003C0831" w:rsidP="003C0831">
      <w:pPr>
        <w:pStyle w:val="Default"/>
        <w:jc w:val="both"/>
        <w:rPr>
          <w:b/>
          <w:bCs/>
          <w:color w:val="auto"/>
        </w:rPr>
      </w:pPr>
    </w:p>
    <w:p w:rsidR="003C0831" w:rsidRPr="00BB0765" w:rsidRDefault="003C0831" w:rsidP="003C0831">
      <w:pPr>
        <w:pStyle w:val="Default"/>
        <w:ind w:firstLine="708"/>
        <w:jc w:val="both"/>
        <w:rPr>
          <w:color w:val="auto"/>
        </w:rPr>
      </w:pPr>
      <w:r w:rsidRPr="00BB0765">
        <w:rPr>
          <w:color w:val="auto"/>
        </w:rPr>
        <w:t>Yüklenici Sözleşmenin yürütülmesi için gereken aşağıda her bir sözleşme paketi için sayıları verilen anahtar teknik (Kilit)  personeli sağlayacaktır.</w:t>
      </w:r>
    </w:p>
    <w:p w:rsidR="003C0831" w:rsidRPr="00BB0765" w:rsidRDefault="003C0831" w:rsidP="003C0831">
      <w:pPr>
        <w:pStyle w:val="Default"/>
        <w:ind w:firstLine="708"/>
        <w:jc w:val="both"/>
        <w:rPr>
          <w:color w:val="auto"/>
        </w:rPr>
      </w:pPr>
    </w:p>
    <w:tbl>
      <w:tblPr>
        <w:tblW w:w="8222"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1134"/>
        <w:gridCol w:w="1843"/>
        <w:gridCol w:w="1302"/>
        <w:gridCol w:w="1843"/>
      </w:tblGrid>
      <w:tr w:rsidR="00D06CEB" w:rsidRPr="00BB0765" w:rsidTr="001C2898">
        <w:tc>
          <w:tcPr>
            <w:tcW w:w="2100" w:type="dxa"/>
            <w:vAlign w:val="center"/>
          </w:tcPr>
          <w:p w:rsidR="00D06CEB" w:rsidRPr="00BB0765" w:rsidRDefault="00D06CEB" w:rsidP="0089613C">
            <w:pPr>
              <w:jc w:val="center"/>
              <w:rPr>
                <w:b/>
              </w:rPr>
            </w:pPr>
            <w:r w:rsidRPr="00BB0765">
              <w:rPr>
                <w:b/>
              </w:rPr>
              <w:t>Sözleşme Referans No</w:t>
            </w:r>
          </w:p>
        </w:tc>
        <w:tc>
          <w:tcPr>
            <w:tcW w:w="1134" w:type="dxa"/>
            <w:vAlign w:val="center"/>
          </w:tcPr>
          <w:p w:rsidR="00D06CEB" w:rsidRPr="00BB0765" w:rsidRDefault="00D06CEB" w:rsidP="0089613C">
            <w:pPr>
              <w:jc w:val="center"/>
              <w:rPr>
                <w:b/>
              </w:rPr>
            </w:pPr>
            <w:r w:rsidRPr="00BB0765">
              <w:rPr>
                <w:b/>
              </w:rPr>
              <w:t>Proje Yöneticisi Sayısı</w:t>
            </w:r>
          </w:p>
          <w:p w:rsidR="00D06CEB" w:rsidRPr="00BB0765" w:rsidRDefault="00D06CEB" w:rsidP="0089613C">
            <w:pPr>
              <w:jc w:val="center"/>
              <w:rPr>
                <w:b/>
              </w:rPr>
            </w:pPr>
          </w:p>
        </w:tc>
        <w:tc>
          <w:tcPr>
            <w:tcW w:w="1843" w:type="dxa"/>
            <w:vAlign w:val="center"/>
          </w:tcPr>
          <w:p w:rsidR="00D06CEB" w:rsidRPr="00BB0765" w:rsidRDefault="00D06CEB" w:rsidP="0089613C">
            <w:pPr>
              <w:jc w:val="center"/>
              <w:rPr>
                <w:b/>
              </w:rPr>
            </w:pPr>
            <w:r w:rsidRPr="00BB0765">
              <w:rPr>
                <w:b/>
              </w:rPr>
              <w:t>Arazi ve büro işlerinden sorumlu</w:t>
            </w:r>
            <w:r w:rsidRPr="00BB0765">
              <w:rPr>
                <w:rStyle w:val="letistbilgisiEtiketi"/>
                <w:b/>
              </w:rPr>
              <w:t xml:space="preserve"> </w:t>
            </w:r>
            <w:r w:rsidRPr="00BB0765">
              <w:rPr>
                <w:b/>
              </w:rPr>
              <w:t>Mühendis Sayısı</w:t>
            </w:r>
          </w:p>
        </w:tc>
        <w:tc>
          <w:tcPr>
            <w:tcW w:w="1302" w:type="dxa"/>
            <w:vAlign w:val="center"/>
          </w:tcPr>
          <w:p w:rsidR="00D06CEB" w:rsidRPr="00BB0765" w:rsidRDefault="00D06CEB" w:rsidP="0089613C">
            <w:pPr>
              <w:jc w:val="center"/>
              <w:rPr>
                <w:b/>
              </w:rPr>
            </w:pPr>
            <w:r w:rsidRPr="00BB0765">
              <w:rPr>
                <w:b/>
              </w:rPr>
              <w:t>Kadastro Uzmanı Sayısı</w:t>
            </w:r>
          </w:p>
          <w:p w:rsidR="00D06CEB" w:rsidRPr="00BB0765" w:rsidRDefault="00D06CEB" w:rsidP="0089613C">
            <w:pPr>
              <w:jc w:val="center"/>
              <w:rPr>
                <w:b/>
              </w:rPr>
            </w:pPr>
          </w:p>
        </w:tc>
        <w:tc>
          <w:tcPr>
            <w:tcW w:w="1843" w:type="dxa"/>
            <w:vAlign w:val="center"/>
          </w:tcPr>
          <w:p w:rsidR="00D06CEB" w:rsidRPr="00BB0765" w:rsidRDefault="00D06CEB" w:rsidP="0089613C">
            <w:pPr>
              <w:jc w:val="center"/>
              <w:rPr>
                <w:b/>
              </w:rPr>
            </w:pPr>
            <w:r w:rsidRPr="00BB0765">
              <w:rPr>
                <w:b/>
              </w:rPr>
              <w:t>Teknisyen /tekniker Sayısı</w:t>
            </w:r>
          </w:p>
        </w:tc>
      </w:tr>
      <w:tr w:rsidR="00D06CEB" w:rsidRPr="00BB0765" w:rsidTr="001C2898">
        <w:tc>
          <w:tcPr>
            <w:tcW w:w="2100" w:type="dxa"/>
            <w:vAlign w:val="center"/>
          </w:tcPr>
          <w:p w:rsidR="00D06CEB" w:rsidRDefault="00D06CEB" w:rsidP="0089613C">
            <w:pPr>
              <w:jc w:val="center"/>
            </w:pPr>
            <w:r>
              <w:t>CNR-ORT</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KRK-DLC</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2</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3</w:t>
            </w:r>
          </w:p>
        </w:tc>
      </w:tr>
      <w:tr w:rsidR="00D06CEB" w:rsidRPr="00BB0765" w:rsidTr="001C2898">
        <w:tc>
          <w:tcPr>
            <w:tcW w:w="2100" w:type="dxa"/>
            <w:vAlign w:val="center"/>
          </w:tcPr>
          <w:p w:rsidR="00D06CEB" w:rsidRDefault="00D06CEB" w:rsidP="0089613C">
            <w:pPr>
              <w:jc w:val="center"/>
            </w:pPr>
            <w:r>
              <w:t>IZM-TRE</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rPr>
                <w:color w:val="000000"/>
              </w:rPr>
            </w:pPr>
            <w:r>
              <w:rPr>
                <w:color w:val="000000"/>
              </w:rPr>
              <w:t>AYD-YPZ</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rPr>
                <w:color w:val="000000"/>
              </w:rPr>
            </w:pPr>
            <w:r>
              <w:rPr>
                <w:color w:val="000000"/>
              </w:rPr>
              <w:t>BRS-KLS</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KRM-MRK V</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ANT-KRT</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ERZ-AZY</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KRS-MRK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2</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3</w:t>
            </w:r>
          </w:p>
        </w:tc>
      </w:tr>
      <w:tr w:rsidR="00D06CEB" w:rsidRPr="00BB0765" w:rsidTr="001C2898">
        <w:tc>
          <w:tcPr>
            <w:tcW w:w="2100" w:type="dxa"/>
            <w:vAlign w:val="center"/>
          </w:tcPr>
          <w:p w:rsidR="00D06CEB" w:rsidRDefault="00D06CEB" w:rsidP="0089613C">
            <w:pPr>
              <w:jc w:val="center"/>
            </w:pPr>
            <w:r>
              <w:t>SNP-GRZ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3</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r>
      <w:tr w:rsidR="00D06CEB" w:rsidRPr="00BB0765" w:rsidTr="001C2898">
        <w:tc>
          <w:tcPr>
            <w:tcW w:w="2100" w:type="dxa"/>
            <w:vAlign w:val="center"/>
          </w:tcPr>
          <w:p w:rsidR="00D06CEB" w:rsidRDefault="00D06CEB" w:rsidP="0089613C">
            <w:pPr>
              <w:jc w:val="center"/>
            </w:pPr>
            <w:r>
              <w:t>GZN-NZP</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3</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r>
      <w:tr w:rsidR="00D06CEB" w:rsidRPr="00BB0765" w:rsidTr="001C2898">
        <w:tc>
          <w:tcPr>
            <w:tcW w:w="2100" w:type="dxa"/>
            <w:vAlign w:val="center"/>
          </w:tcPr>
          <w:p w:rsidR="00D06CEB" w:rsidRDefault="00D06CEB" w:rsidP="0089613C">
            <w:pPr>
              <w:jc w:val="center"/>
            </w:pPr>
            <w:r>
              <w:t>KHM-ELB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TKD-MLK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TNC-MZG</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pPr>
            <w:r>
              <w:t>KTH-GDZ</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rPr>
                <w:color w:val="000000"/>
              </w:rPr>
            </w:pPr>
            <w:r>
              <w:rPr>
                <w:color w:val="000000"/>
              </w:rPr>
              <w:t>BLC-SGT</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3</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r>
      <w:tr w:rsidR="00D06CEB" w:rsidRPr="00BB0765" w:rsidTr="001C2898">
        <w:tc>
          <w:tcPr>
            <w:tcW w:w="2100" w:type="dxa"/>
            <w:vAlign w:val="center"/>
          </w:tcPr>
          <w:p w:rsidR="00D06CEB" w:rsidRDefault="00D06CEB" w:rsidP="0089613C">
            <w:pPr>
              <w:jc w:val="center"/>
              <w:rPr>
                <w:color w:val="000000"/>
              </w:rPr>
            </w:pPr>
            <w:r>
              <w:rPr>
                <w:color w:val="000000"/>
              </w:rPr>
              <w:t>DNZ-SRY</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rPr>
                <w:color w:val="000000"/>
              </w:rPr>
            </w:pPr>
            <w:r>
              <w:rPr>
                <w:color w:val="000000"/>
              </w:rPr>
              <w:t>YZG-MRK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r w:rsidR="00D06CEB" w:rsidRPr="00BB0765" w:rsidTr="001C2898">
        <w:tc>
          <w:tcPr>
            <w:tcW w:w="2100" w:type="dxa"/>
            <w:vAlign w:val="center"/>
          </w:tcPr>
          <w:p w:rsidR="00D06CEB" w:rsidRDefault="00D06CEB" w:rsidP="0089613C">
            <w:pPr>
              <w:jc w:val="center"/>
              <w:rPr>
                <w:color w:val="000000"/>
              </w:rPr>
            </w:pPr>
            <w:r>
              <w:rPr>
                <w:color w:val="000000"/>
              </w:rPr>
              <w:t>YZG-AKD II</w:t>
            </w:r>
          </w:p>
        </w:tc>
        <w:tc>
          <w:tcPr>
            <w:tcW w:w="1134"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4</w:t>
            </w:r>
          </w:p>
        </w:tc>
        <w:tc>
          <w:tcPr>
            <w:tcW w:w="1302" w:type="dxa"/>
          </w:tcPr>
          <w:p w:rsidR="00D06CEB" w:rsidRPr="00BB0765" w:rsidRDefault="00D06CEB" w:rsidP="0089613C">
            <w:pPr>
              <w:jc w:val="center"/>
              <w:rPr>
                <w:bCs/>
              </w:rPr>
            </w:pPr>
            <w:r w:rsidRPr="00BB0765">
              <w:rPr>
                <w:bCs/>
              </w:rPr>
              <w:t>1</w:t>
            </w:r>
          </w:p>
        </w:tc>
        <w:tc>
          <w:tcPr>
            <w:tcW w:w="1843" w:type="dxa"/>
          </w:tcPr>
          <w:p w:rsidR="00D06CEB" w:rsidRPr="00BB0765" w:rsidRDefault="00D06CEB" w:rsidP="0089613C">
            <w:pPr>
              <w:jc w:val="center"/>
              <w:rPr>
                <w:bCs/>
              </w:rPr>
            </w:pPr>
            <w:r>
              <w:rPr>
                <w:bCs/>
              </w:rPr>
              <w:t>5</w:t>
            </w:r>
          </w:p>
        </w:tc>
      </w:tr>
    </w:tbl>
    <w:p w:rsidR="003C0831" w:rsidRPr="00BB0765" w:rsidRDefault="003C0831" w:rsidP="003C0831">
      <w:pPr>
        <w:pStyle w:val="Default"/>
        <w:tabs>
          <w:tab w:val="left" w:pos="1886"/>
        </w:tabs>
        <w:ind w:firstLine="708"/>
        <w:jc w:val="both"/>
        <w:rPr>
          <w:color w:val="auto"/>
        </w:rPr>
      </w:pPr>
      <w:r w:rsidRPr="00BB0765">
        <w:rPr>
          <w:color w:val="auto"/>
        </w:rPr>
        <w:tab/>
      </w:r>
    </w:p>
    <w:p w:rsidR="003C0831" w:rsidRPr="00BB0765" w:rsidRDefault="003C0831" w:rsidP="003C0831">
      <w:pPr>
        <w:pStyle w:val="Default"/>
        <w:jc w:val="both"/>
        <w:rPr>
          <w:b/>
          <w:bCs/>
          <w:color w:val="auto"/>
        </w:rPr>
      </w:pPr>
    </w:p>
    <w:p w:rsidR="003C0831" w:rsidRPr="00BB0765" w:rsidRDefault="003C0831" w:rsidP="003C0831">
      <w:pPr>
        <w:pStyle w:val="Altbilgi"/>
        <w:tabs>
          <w:tab w:val="clear" w:pos="4536"/>
          <w:tab w:val="clear" w:pos="9072"/>
        </w:tabs>
        <w:ind w:firstLine="708"/>
        <w:jc w:val="both"/>
      </w:pPr>
      <w:r w:rsidRPr="00BB0765">
        <w:t xml:space="preserve">Sözleşme aşamasında sadece ilgili sözleşme paketine ait personel sayısı sözleşme metninde yer alacaktır.   </w:t>
      </w:r>
    </w:p>
    <w:p w:rsidR="003C0831" w:rsidRPr="00BB0765" w:rsidRDefault="003C0831" w:rsidP="003C0831">
      <w:pPr>
        <w:pStyle w:val="Altbilgi"/>
        <w:tabs>
          <w:tab w:val="clear" w:pos="4536"/>
          <w:tab w:val="clear" w:pos="9072"/>
        </w:tabs>
        <w:ind w:firstLine="708"/>
        <w:jc w:val="both"/>
      </w:pPr>
      <w:r w:rsidRPr="00BB0765">
        <w:t xml:space="preserve">Yukarıda listesi verilen anahtar teknik personelin özellikleri aşağıda verilmiştir. </w:t>
      </w:r>
    </w:p>
    <w:p w:rsidR="003C0831" w:rsidRPr="00BB0765" w:rsidRDefault="003C0831" w:rsidP="003C0831">
      <w:pPr>
        <w:ind w:left="851"/>
        <w:jc w:val="both"/>
      </w:pPr>
    </w:p>
    <w:p w:rsidR="003C0831" w:rsidRPr="00BB0765" w:rsidRDefault="003C0831" w:rsidP="003C0831">
      <w:pPr>
        <w:pStyle w:val="Altbilgi"/>
        <w:tabs>
          <w:tab w:val="clear" w:pos="4536"/>
          <w:tab w:val="clear" w:pos="9072"/>
        </w:tabs>
        <w:jc w:val="both"/>
        <w:rPr>
          <w:b/>
        </w:rPr>
      </w:pPr>
      <w:r w:rsidRPr="00BB0765">
        <w:rPr>
          <w:b/>
        </w:rPr>
        <w:t xml:space="preserve">Proje Yöneticisi Özellikleri; </w:t>
      </w:r>
    </w:p>
    <w:p w:rsidR="003C0831" w:rsidRPr="00BB0765" w:rsidRDefault="003C0831" w:rsidP="003C0831">
      <w:pPr>
        <w:pStyle w:val="Altbilgi"/>
        <w:tabs>
          <w:tab w:val="clear" w:pos="4536"/>
          <w:tab w:val="clear" w:pos="9072"/>
        </w:tabs>
        <w:ind w:left="1415" w:firstLine="696"/>
        <w:jc w:val="both"/>
      </w:pPr>
    </w:p>
    <w:p w:rsidR="003C0831" w:rsidRPr="00BB0765" w:rsidRDefault="003C0831" w:rsidP="003C0831">
      <w:pPr>
        <w:pStyle w:val="Altbilgi"/>
        <w:numPr>
          <w:ilvl w:val="0"/>
          <w:numId w:val="1"/>
        </w:numPr>
        <w:tabs>
          <w:tab w:val="clear" w:pos="4536"/>
          <w:tab w:val="clear" w:pos="9072"/>
        </w:tabs>
        <w:jc w:val="both"/>
      </w:pPr>
      <w:r w:rsidRPr="00BB0765">
        <w:t>Harita, Harita-Kadastro (Jeodezi-</w:t>
      </w:r>
      <w:proofErr w:type="spellStart"/>
      <w:r w:rsidRPr="00BB0765">
        <w:t>Fotogrametri</w:t>
      </w:r>
      <w:proofErr w:type="spellEnd"/>
      <w:r w:rsidRPr="00BB0765">
        <w:t xml:space="preserve">), </w:t>
      </w:r>
      <w:proofErr w:type="spellStart"/>
      <w:r w:rsidRPr="00BB0765">
        <w:t>Geomatik</w:t>
      </w:r>
      <w:proofErr w:type="spellEnd"/>
      <w:r w:rsidRPr="00BB0765">
        <w:t xml:space="preserve"> Mühendisi olmak (Diploma veya mezuniyet belgesi ile ihalenin yapıldığı yıla ait ilgili meslek odası üye kayıt belgesinin sunulması zorunludur.)</w:t>
      </w:r>
    </w:p>
    <w:p w:rsidR="003C0831" w:rsidRPr="00BB0765" w:rsidRDefault="003C0831" w:rsidP="003C0831">
      <w:pPr>
        <w:pStyle w:val="Altbilgi"/>
        <w:tabs>
          <w:tab w:val="clear" w:pos="4536"/>
          <w:tab w:val="clear" w:pos="9072"/>
        </w:tabs>
        <w:ind w:left="360"/>
        <w:jc w:val="both"/>
      </w:pPr>
    </w:p>
    <w:p w:rsidR="003C0831" w:rsidRPr="00BB0765" w:rsidRDefault="003C0831" w:rsidP="003C0831">
      <w:pPr>
        <w:pStyle w:val="Altbilgi"/>
        <w:numPr>
          <w:ilvl w:val="0"/>
          <w:numId w:val="1"/>
        </w:numPr>
        <w:tabs>
          <w:tab w:val="clear" w:pos="4536"/>
          <w:tab w:val="clear" w:pos="9072"/>
        </w:tabs>
        <w:jc w:val="both"/>
      </w:pPr>
      <w:r w:rsidRPr="00BB0765">
        <w:t>En az 5 yıl deneyimli olmak (ilgili meslek odası üye kayıt belgesi ya da kamuda çalışmış olanlar için kamu hizmet cetveli ile belgelenecek)</w:t>
      </w:r>
    </w:p>
    <w:p w:rsidR="003C0831" w:rsidRPr="00BB0765" w:rsidRDefault="003C0831" w:rsidP="003C0831">
      <w:pPr>
        <w:pStyle w:val="Altbilgi"/>
        <w:tabs>
          <w:tab w:val="clear" w:pos="4536"/>
          <w:tab w:val="clear" w:pos="9072"/>
        </w:tabs>
        <w:ind w:left="360"/>
        <w:jc w:val="both"/>
      </w:pPr>
    </w:p>
    <w:p w:rsidR="003C0831" w:rsidRPr="00BB0765" w:rsidRDefault="003C0831" w:rsidP="003C0831">
      <w:pPr>
        <w:pStyle w:val="Altbilgi"/>
        <w:tabs>
          <w:tab w:val="clear" w:pos="4536"/>
          <w:tab w:val="clear" w:pos="9072"/>
        </w:tabs>
        <w:ind w:left="360"/>
        <w:jc w:val="both"/>
        <w:rPr>
          <w:b/>
          <w:i/>
          <w:u w:val="single"/>
        </w:rPr>
      </w:pPr>
      <w:r w:rsidRPr="00BB0765">
        <w:rPr>
          <w:b/>
          <w:i/>
          <w:u w:val="single"/>
        </w:rPr>
        <w:t>Yöneticilik deneyiminin belgelenmesi için;</w:t>
      </w:r>
    </w:p>
    <w:p w:rsidR="003C0831" w:rsidRPr="00BB0765" w:rsidRDefault="003C0831" w:rsidP="003C0831">
      <w:pPr>
        <w:pStyle w:val="Altbilgi"/>
        <w:tabs>
          <w:tab w:val="clear" w:pos="4536"/>
          <w:tab w:val="clear" w:pos="9072"/>
        </w:tabs>
        <w:ind w:left="720"/>
        <w:jc w:val="both"/>
      </w:pPr>
    </w:p>
    <w:p w:rsidR="003C0831" w:rsidRPr="00BB0765" w:rsidRDefault="003C0831" w:rsidP="003C0831">
      <w:pPr>
        <w:pStyle w:val="Altbilgi"/>
        <w:numPr>
          <w:ilvl w:val="0"/>
          <w:numId w:val="1"/>
        </w:numPr>
        <w:tabs>
          <w:tab w:val="clear" w:pos="4536"/>
          <w:tab w:val="clear" w:pos="9072"/>
        </w:tabs>
        <w:jc w:val="both"/>
      </w:pPr>
      <w:r w:rsidRPr="00BB0765">
        <w:t>Özel sektörde, Harita Kadastro Mühendislik hizmetleri kapsamında; az 3 yıl süre ile gerçek kişi olarak veya şirketlerde yönetim kurulu başkanı veya şirketlerde müdür olarak çalışmış olmak, (Ticaret sicil memurluğundan alınacak yazı ile belgelenecektir.)</w:t>
      </w:r>
    </w:p>
    <w:p w:rsidR="003C0831" w:rsidRPr="00BB0765" w:rsidRDefault="003C0831" w:rsidP="003C0831">
      <w:pPr>
        <w:pStyle w:val="Altbilgi"/>
        <w:tabs>
          <w:tab w:val="clear" w:pos="4536"/>
          <w:tab w:val="clear" w:pos="9072"/>
        </w:tabs>
        <w:ind w:left="720"/>
        <w:jc w:val="both"/>
      </w:pPr>
    </w:p>
    <w:p w:rsidR="003C0831" w:rsidRPr="00BB0765" w:rsidRDefault="003C0831" w:rsidP="003C0831">
      <w:pPr>
        <w:pStyle w:val="Altbilgi"/>
        <w:tabs>
          <w:tab w:val="clear" w:pos="4536"/>
          <w:tab w:val="clear" w:pos="9072"/>
        </w:tabs>
        <w:ind w:left="720"/>
        <w:jc w:val="both"/>
      </w:pPr>
      <w:proofErr w:type="gramStart"/>
      <w:r w:rsidRPr="00BB0765">
        <w:t>veya</w:t>
      </w:r>
      <w:proofErr w:type="gramEnd"/>
    </w:p>
    <w:p w:rsidR="003C0831" w:rsidRPr="00BB0765" w:rsidRDefault="003C0831" w:rsidP="003C0831">
      <w:pPr>
        <w:pStyle w:val="Altbilgi"/>
        <w:tabs>
          <w:tab w:val="clear" w:pos="4536"/>
          <w:tab w:val="clear" w:pos="9072"/>
        </w:tabs>
        <w:ind w:left="720"/>
        <w:jc w:val="both"/>
      </w:pPr>
    </w:p>
    <w:p w:rsidR="003C0831" w:rsidRPr="00BB0765" w:rsidRDefault="003C0831" w:rsidP="003C0831">
      <w:pPr>
        <w:pStyle w:val="Altbilgi"/>
        <w:numPr>
          <w:ilvl w:val="0"/>
          <w:numId w:val="1"/>
        </w:numPr>
        <w:tabs>
          <w:tab w:val="clear" w:pos="4536"/>
          <w:tab w:val="clear" w:pos="9072"/>
        </w:tabs>
        <w:jc w:val="both"/>
      </w:pPr>
      <w:r w:rsidRPr="00BB0765">
        <w:t>Kamu sektöründe, Harita Kadastro Mühendislik hizmetleri kapsamında; az 3 yıl süre ile kontrol mühendisi, kontrolden sorumlu mühendis (yetkili kontrol mühendisi) başmühendis, müdür yardımcısı, müdür veya daha üst görevlerde asil ya da vekil olarak çalışmış olmak, (kamu hizmet cetveli ile belgelenecek)</w:t>
      </w:r>
    </w:p>
    <w:p w:rsidR="003C0831" w:rsidRPr="00BB0765" w:rsidRDefault="003C0831" w:rsidP="003C0831">
      <w:pPr>
        <w:pStyle w:val="Altbilgi"/>
        <w:tabs>
          <w:tab w:val="clear" w:pos="4536"/>
          <w:tab w:val="clear" w:pos="9072"/>
        </w:tabs>
        <w:ind w:left="720"/>
        <w:jc w:val="both"/>
      </w:pPr>
    </w:p>
    <w:p w:rsidR="003C0831" w:rsidRPr="00BB0765" w:rsidRDefault="003C0831" w:rsidP="003C0831">
      <w:pPr>
        <w:pStyle w:val="Altbilgi"/>
        <w:tabs>
          <w:tab w:val="clear" w:pos="4536"/>
          <w:tab w:val="clear" w:pos="9072"/>
        </w:tabs>
        <w:ind w:left="720"/>
        <w:jc w:val="both"/>
      </w:pPr>
      <w:proofErr w:type="gramStart"/>
      <w:r w:rsidRPr="00BB0765">
        <w:t>ya</w:t>
      </w:r>
      <w:proofErr w:type="gramEnd"/>
      <w:r w:rsidRPr="00BB0765">
        <w:t xml:space="preserve"> da</w:t>
      </w:r>
    </w:p>
    <w:p w:rsidR="003C0831" w:rsidRPr="00BB0765" w:rsidRDefault="003C0831" w:rsidP="003C0831">
      <w:pPr>
        <w:pStyle w:val="Altbilgi"/>
        <w:tabs>
          <w:tab w:val="clear" w:pos="4536"/>
          <w:tab w:val="clear" w:pos="9072"/>
        </w:tabs>
        <w:ind w:left="720"/>
        <w:jc w:val="both"/>
      </w:pPr>
    </w:p>
    <w:p w:rsidR="003C0831" w:rsidRPr="00BB0765" w:rsidRDefault="003C0831" w:rsidP="003C0831">
      <w:pPr>
        <w:pStyle w:val="Altbilgi"/>
        <w:numPr>
          <w:ilvl w:val="0"/>
          <w:numId w:val="1"/>
        </w:numPr>
        <w:tabs>
          <w:tab w:val="clear" w:pos="4536"/>
          <w:tab w:val="clear" w:pos="9072"/>
        </w:tabs>
        <w:jc w:val="both"/>
      </w:pPr>
      <w:r w:rsidRPr="00BB0765">
        <w:t>Tapu ve Kadastro Genel Müdürlüğü Kadastro Dairesi Başkanlığınca ihalesi yapılan işlerde en az 5 yıl süre ile Harita Mühendisi olarak çalışmış olmak. (TKGM den alınacak görev yazısı ile belgelenecek)</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tabs>
          <w:tab w:val="clear" w:pos="4536"/>
          <w:tab w:val="clear" w:pos="9072"/>
        </w:tabs>
        <w:jc w:val="both"/>
        <w:rPr>
          <w:b/>
        </w:rPr>
      </w:pPr>
      <w:r w:rsidRPr="00BB0765">
        <w:rPr>
          <w:b/>
        </w:rPr>
        <w:t>Mühendis Özellikleri;</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numPr>
          <w:ilvl w:val="0"/>
          <w:numId w:val="2"/>
        </w:numPr>
        <w:tabs>
          <w:tab w:val="clear" w:pos="4536"/>
          <w:tab w:val="clear" w:pos="9072"/>
        </w:tabs>
        <w:jc w:val="both"/>
      </w:pPr>
      <w:r w:rsidRPr="00BB0765">
        <w:t>Harita, Harita-Kadastro (Jeodezi-</w:t>
      </w:r>
      <w:proofErr w:type="spellStart"/>
      <w:r w:rsidRPr="00BB0765">
        <w:t>Fotogrametri</w:t>
      </w:r>
      <w:proofErr w:type="spellEnd"/>
      <w:r w:rsidRPr="00BB0765">
        <w:t xml:space="preserve">), </w:t>
      </w:r>
      <w:proofErr w:type="spellStart"/>
      <w:r w:rsidRPr="00BB0765">
        <w:t>Geomatik</w:t>
      </w:r>
      <w:proofErr w:type="spellEnd"/>
      <w:r w:rsidRPr="00BB0765">
        <w:t xml:space="preserve"> Mühendisi olmak, (Diploma veya mezuniyet belgesi ile ihalenin yapıldığı yıla ait ilgili meslek odası üye kayıt belgesinin sunulması zorunludur.)</w:t>
      </w:r>
    </w:p>
    <w:p w:rsidR="003C0831" w:rsidRPr="00BB0765" w:rsidRDefault="003C0831" w:rsidP="003C0831">
      <w:pPr>
        <w:pStyle w:val="Altbilgi"/>
        <w:numPr>
          <w:ilvl w:val="0"/>
          <w:numId w:val="2"/>
        </w:numPr>
        <w:tabs>
          <w:tab w:val="left" w:pos="708"/>
        </w:tabs>
        <w:jc w:val="both"/>
      </w:pPr>
      <w:r w:rsidRPr="00BB0765">
        <w:t>Anahtar teknik (kilit) personel listesinde istenen mühendislerin 2 yıl deneyimli olması.(ilgili meslek odası üye kayıt belgesi ya da kamuda çalışmış olanlar için kamu hizmet cetveli ile belgelenecek) Ayrıca ihalenin yapıldığı yıla ait Oda Sicil Kaydının da bu belgelere eklenmesi gerekmektedir.</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tabs>
          <w:tab w:val="clear" w:pos="4536"/>
          <w:tab w:val="clear" w:pos="9072"/>
        </w:tabs>
        <w:jc w:val="both"/>
        <w:rPr>
          <w:b/>
        </w:rPr>
      </w:pPr>
      <w:r w:rsidRPr="00BB0765">
        <w:rPr>
          <w:b/>
        </w:rPr>
        <w:t>Kadastro Uzmanı;</w:t>
      </w:r>
    </w:p>
    <w:p w:rsidR="003C0831" w:rsidRPr="00BB0765" w:rsidRDefault="003C0831" w:rsidP="003C0831">
      <w:pPr>
        <w:pStyle w:val="Altbilgi"/>
        <w:tabs>
          <w:tab w:val="clear" w:pos="4536"/>
          <w:tab w:val="clear" w:pos="9072"/>
        </w:tabs>
        <w:jc w:val="both"/>
        <w:rPr>
          <w:b/>
        </w:rPr>
      </w:pPr>
    </w:p>
    <w:p w:rsidR="003C0831" w:rsidRPr="00BB0765" w:rsidRDefault="003C0831" w:rsidP="003C0831">
      <w:pPr>
        <w:pStyle w:val="Altbilgi"/>
        <w:numPr>
          <w:ilvl w:val="0"/>
          <w:numId w:val="3"/>
        </w:numPr>
        <w:tabs>
          <w:tab w:val="clear" w:pos="4536"/>
          <w:tab w:val="clear" w:pos="9072"/>
        </w:tabs>
        <w:jc w:val="both"/>
      </w:pPr>
      <w:r w:rsidRPr="00BB0765">
        <w:t>İş bitirme olarak kabul edilen kadastro ve/veya yenileme, işlerinde en az 10 yıl süreyle teknik personel olarak çalışmış olmak ve bu hizmetini belgelemek.</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tabs>
          <w:tab w:val="clear" w:pos="4536"/>
          <w:tab w:val="clear" w:pos="9072"/>
        </w:tabs>
        <w:jc w:val="both"/>
        <w:rPr>
          <w:b/>
        </w:rPr>
      </w:pPr>
      <w:r w:rsidRPr="00BB0765">
        <w:rPr>
          <w:b/>
        </w:rPr>
        <w:t>Tekniker / teknisyen;</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numPr>
          <w:ilvl w:val="0"/>
          <w:numId w:val="3"/>
        </w:numPr>
        <w:tabs>
          <w:tab w:val="clear" w:pos="4536"/>
          <w:tab w:val="clear" w:pos="9072"/>
        </w:tabs>
        <w:jc w:val="both"/>
      </w:pPr>
      <w:r w:rsidRPr="00BB0765">
        <w:t>Üniversitelerin 2 yıllık tapu-kadastro veya harita-kadastro bölümlerinden veya Tapu Kadastro Meslek Lisesi veya meslek liselerinin tapu, harita, kadastro bölümlerinden mezunu olduğunu belgelemek. (mezuniyet belgesi) veya kamuda harita, kadastro hizmetleri kapsamında tekniker/teknisyen olarak çalıştığını hizmet belgesi ile belgelemek.</w:t>
      </w:r>
    </w:p>
    <w:p w:rsidR="003C0831" w:rsidRPr="00BB0765" w:rsidRDefault="003C0831" w:rsidP="003C0831">
      <w:pPr>
        <w:pStyle w:val="Altbilgi"/>
        <w:numPr>
          <w:ilvl w:val="0"/>
          <w:numId w:val="3"/>
        </w:numPr>
        <w:tabs>
          <w:tab w:val="clear" w:pos="4536"/>
          <w:tab w:val="clear" w:pos="9072"/>
        </w:tabs>
        <w:jc w:val="both"/>
      </w:pPr>
      <w:r w:rsidRPr="00BB0765">
        <w:t>En az 2 yıl deneyimi olmak. (mezuniyet belgesi veya kamuda çalışmış olanlar için kamu hizmet cetveli ile belgelenecek)</w:t>
      </w:r>
    </w:p>
    <w:p w:rsidR="003C0831" w:rsidRPr="00BB0765" w:rsidRDefault="003C0831" w:rsidP="003C0831">
      <w:pPr>
        <w:pStyle w:val="Altbilgi"/>
        <w:numPr>
          <w:ilvl w:val="0"/>
          <w:numId w:val="3"/>
        </w:numPr>
        <w:tabs>
          <w:tab w:val="clear" w:pos="4536"/>
          <w:tab w:val="clear" w:pos="9072"/>
        </w:tabs>
        <w:jc w:val="both"/>
      </w:pPr>
      <w:r w:rsidRPr="00BB0765">
        <w:t xml:space="preserve">Üniversitelerin Harita, Harita-Kadastro, Jeodezi ve </w:t>
      </w:r>
      <w:proofErr w:type="spellStart"/>
      <w:r w:rsidRPr="00BB0765">
        <w:t>Fotogrametri</w:t>
      </w:r>
      <w:proofErr w:type="spellEnd"/>
      <w:r w:rsidRPr="00BB0765">
        <w:t xml:space="preserve">, </w:t>
      </w:r>
      <w:proofErr w:type="spellStart"/>
      <w:r w:rsidRPr="00BB0765">
        <w:t>Geomatik</w:t>
      </w:r>
      <w:proofErr w:type="spellEnd"/>
      <w:r w:rsidRPr="00BB0765">
        <w:t xml:space="preserve"> Mühendisliği bölümünden mezun olanlar, süre aranmaksızın 2 yıl deneyimli tekniker/teknisyen konumunda personel olarak değerlendirilebilir.</w:t>
      </w:r>
    </w:p>
    <w:p w:rsidR="003C0831" w:rsidRPr="00BB0765" w:rsidRDefault="003C0831" w:rsidP="003C0831">
      <w:pPr>
        <w:pStyle w:val="Altbilgi"/>
        <w:tabs>
          <w:tab w:val="clear" w:pos="4536"/>
          <w:tab w:val="clear" w:pos="9072"/>
        </w:tabs>
        <w:ind w:left="1415" w:firstLine="696"/>
        <w:jc w:val="both"/>
      </w:pPr>
      <w:r w:rsidRPr="00BB0765">
        <w:t xml:space="preserve"> </w:t>
      </w:r>
    </w:p>
    <w:p w:rsidR="003C0831" w:rsidRPr="00BB0765" w:rsidRDefault="003C0831" w:rsidP="003C0831">
      <w:pPr>
        <w:pStyle w:val="Altbilgi"/>
        <w:tabs>
          <w:tab w:val="clear" w:pos="4536"/>
          <w:tab w:val="clear" w:pos="9072"/>
        </w:tabs>
        <w:jc w:val="both"/>
      </w:pPr>
      <w:r w:rsidRPr="00BB0765">
        <w:t xml:space="preserve">Deneyimler ihale tarihi itibariyle yıl olarak değerlendirilecektir. </w:t>
      </w:r>
    </w:p>
    <w:p w:rsidR="003C0831" w:rsidRPr="00BB0765" w:rsidRDefault="003C0831" w:rsidP="003C0831">
      <w:pPr>
        <w:pStyle w:val="Altbilgi"/>
        <w:tabs>
          <w:tab w:val="clear" w:pos="4536"/>
          <w:tab w:val="clear" w:pos="9072"/>
        </w:tabs>
        <w:jc w:val="both"/>
      </w:pPr>
    </w:p>
    <w:p w:rsidR="003C0831" w:rsidRPr="00BB0765" w:rsidRDefault="003C0831" w:rsidP="003C0831">
      <w:pPr>
        <w:pStyle w:val="Altbilgi"/>
        <w:tabs>
          <w:tab w:val="clear" w:pos="4536"/>
          <w:tab w:val="clear" w:pos="9072"/>
        </w:tabs>
        <w:ind w:firstLine="708"/>
        <w:jc w:val="both"/>
      </w:pPr>
      <w:r w:rsidRPr="00BB0765">
        <w:lastRenderedPageBreak/>
        <w:t xml:space="preserve">İşin niteliğine ve gidişatına göre işin zamanında tamamlanabilmesi için, İdare Yükleniciden ilave personel isteyebilecektir. </w:t>
      </w:r>
    </w:p>
    <w:p w:rsidR="004D060E" w:rsidRDefault="004D060E"/>
    <w:sectPr w:rsidR="004D060E" w:rsidSect="004D0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2C5"/>
    <w:multiLevelType w:val="hybridMultilevel"/>
    <w:tmpl w:val="1E200C90"/>
    <w:lvl w:ilvl="0" w:tplc="8C10B85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6016DD"/>
    <w:multiLevelType w:val="hybridMultilevel"/>
    <w:tmpl w:val="62280932"/>
    <w:lvl w:ilvl="0" w:tplc="8C10B85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F52280"/>
    <w:multiLevelType w:val="hybridMultilevel"/>
    <w:tmpl w:val="98DA75CE"/>
    <w:lvl w:ilvl="0" w:tplc="8C10B85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C0831"/>
    <w:rsid w:val="001912B0"/>
    <w:rsid w:val="00356D7D"/>
    <w:rsid w:val="003C0831"/>
    <w:rsid w:val="00442451"/>
    <w:rsid w:val="004D060E"/>
    <w:rsid w:val="00543A4F"/>
    <w:rsid w:val="006D7E56"/>
    <w:rsid w:val="009C70CE"/>
    <w:rsid w:val="00D06C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3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3C08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C0831"/>
    <w:rPr>
      <w:rFonts w:asciiTheme="majorHAnsi" w:eastAsiaTheme="majorEastAsia" w:hAnsiTheme="majorHAnsi" w:cstheme="majorBidi"/>
      <w:b/>
      <w:bCs/>
      <w:color w:val="4F81BD" w:themeColor="accent1"/>
      <w:sz w:val="26"/>
      <w:szCs w:val="26"/>
      <w:lang w:eastAsia="tr-TR"/>
    </w:rPr>
  </w:style>
  <w:style w:type="paragraph" w:customStyle="1" w:styleId="Default">
    <w:name w:val="Default"/>
    <w:rsid w:val="003C0831"/>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3C0831"/>
    <w:pPr>
      <w:tabs>
        <w:tab w:val="center" w:pos="4536"/>
        <w:tab w:val="right" w:pos="9072"/>
      </w:tabs>
    </w:pPr>
  </w:style>
  <w:style w:type="character" w:customStyle="1" w:styleId="AltbilgiChar">
    <w:name w:val="Altbilgi Char"/>
    <w:basedOn w:val="VarsaylanParagrafYazTipi"/>
    <w:link w:val="Altbilgi"/>
    <w:uiPriority w:val="99"/>
    <w:rsid w:val="003C0831"/>
    <w:rPr>
      <w:rFonts w:ascii="Times New Roman" w:eastAsia="Times New Roman" w:hAnsi="Times New Roman" w:cs="Times New Roman"/>
      <w:sz w:val="24"/>
      <w:szCs w:val="24"/>
      <w:lang w:eastAsia="tr-TR"/>
    </w:rPr>
  </w:style>
  <w:style w:type="character" w:customStyle="1" w:styleId="letistbilgisiEtiketi">
    <w:name w:val="İleti Üstbilgisi Etiketi"/>
    <w:rsid w:val="003C0831"/>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tk33428</cp:lastModifiedBy>
  <cp:revision>5</cp:revision>
  <dcterms:created xsi:type="dcterms:W3CDTF">2020-08-24T20:52:00Z</dcterms:created>
  <dcterms:modified xsi:type="dcterms:W3CDTF">2021-06-10T14:23:00Z</dcterms:modified>
</cp:coreProperties>
</file>