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body>
    <w:p w:rsidR="00A0500F" w:rsidRDefault="00A0500F" w:rsidP="00372A41">
      <w:pPr>
        <w:pStyle w:val="Gvdemetni0"/>
        <w:shd w:val="clear" w:color="auto" w:fill="auto"/>
        <w:spacing w:after="0" w:line="240" w:lineRule="atLeast"/>
        <w:jc w:val="both"/>
        <w:rPr>
          <w:rFonts w:ascii="Cambria" w:hAnsi="Cambria"/>
          <w:sz w:val="28"/>
          <w:szCs w:val="28"/>
        </w:rPr>
      </w:pPr>
      <w:r>
        <w:rPr>
          <w:rFonts w:ascii="Cambria" w:hAnsi="Cambria"/>
          <w:sz w:val="28"/>
          <w:szCs w:val="28"/>
        </w:rPr>
        <w:t>DOSYA NO</w:t>
      </w:r>
      <w:r>
        <w:rPr>
          <w:rFonts w:ascii="Cambria" w:hAnsi="Cambria"/>
          <w:sz w:val="28"/>
          <w:szCs w:val="28"/>
        </w:rPr>
        <w:tab/>
        <w:t>: 641-04-13-601</w:t>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r>
      <w:r>
        <w:rPr>
          <w:rFonts w:ascii="Cambria" w:hAnsi="Cambria"/>
          <w:sz w:val="28"/>
          <w:szCs w:val="28"/>
        </w:rPr>
        <w:tab/>
        <w:t>KARAR</w:t>
      </w:r>
      <w:r>
        <w:rPr>
          <w:rFonts w:ascii="Cambria" w:hAnsi="Cambria"/>
          <w:sz w:val="28"/>
          <w:szCs w:val="28"/>
        </w:rPr>
        <w:tab/>
        <w:t>: 89</w:t>
      </w:r>
    </w:p>
    <w:p w:rsidR="00A0500F" w:rsidRDefault="00A0500F" w:rsidP="00372A41">
      <w:pPr>
        <w:pStyle w:val="Gvdemetni0"/>
        <w:shd w:val="clear" w:color="auto" w:fill="auto"/>
        <w:spacing w:after="0" w:line="240" w:lineRule="atLeast"/>
        <w:jc w:val="both"/>
        <w:rPr>
          <w:rFonts w:ascii="Cambria" w:hAnsi="Cambria"/>
          <w:sz w:val="28"/>
          <w:szCs w:val="28"/>
        </w:rPr>
      </w:pPr>
    </w:p>
    <w:p w:rsidR="00372A41" w:rsidRDefault="00664B26" w:rsidP="00372A41">
      <w:pPr>
        <w:pStyle w:val="Gvdemetni0"/>
        <w:shd w:val="clear" w:color="auto" w:fill="auto"/>
        <w:spacing w:after="0" w:line="240" w:lineRule="atLeast"/>
        <w:jc w:val="both"/>
        <w:rPr>
          <w:rFonts w:ascii="Cambria" w:hAnsi="Cambria"/>
          <w:sz w:val="28"/>
          <w:szCs w:val="28"/>
        </w:rPr>
      </w:pPr>
      <w:r w:rsidRPr="00372A41">
        <w:rPr>
          <w:rFonts w:ascii="Cambria" w:hAnsi="Cambria"/>
          <w:sz w:val="28"/>
          <w:szCs w:val="28"/>
        </w:rPr>
        <w:t>T.C.</w:t>
      </w:r>
    </w:p>
    <w:p w:rsidR="00372A41" w:rsidRDefault="00664B26" w:rsidP="00372A41">
      <w:pPr>
        <w:pStyle w:val="Gvdemetni0"/>
        <w:shd w:val="clear" w:color="auto" w:fill="auto"/>
        <w:spacing w:after="0" w:line="240" w:lineRule="atLeast"/>
        <w:jc w:val="both"/>
        <w:rPr>
          <w:rFonts w:ascii="Cambria" w:hAnsi="Cambria"/>
          <w:sz w:val="28"/>
          <w:szCs w:val="28"/>
        </w:rPr>
      </w:pPr>
      <w:r w:rsidRPr="00372A41">
        <w:rPr>
          <w:rFonts w:ascii="Cambria" w:hAnsi="Cambria"/>
          <w:sz w:val="28"/>
          <w:szCs w:val="28"/>
        </w:rPr>
        <w:t xml:space="preserve">ZONGULDAK </w:t>
      </w:r>
    </w:p>
    <w:p w:rsidR="00860DD1" w:rsidRPr="00372A41" w:rsidRDefault="00664B26" w:rsidP="00372A41">
      <w:pPr>
        <w:pStyle w:val="Gvdemetni0"/>
        <w:shd w:val="clear" w:color="auto" w:fill="auto"/>
        <w:spacing w:after="0" w:line="240" w:lineRule="atLeast"/>
        <w:jc w:val="both"/>
        <w:rPr>
          <w:rFonts w:ascii="Cambria" w:hAnsi="Cambria"/>
          <w:sz w:val="28"/>
          <w:szCs w:val="28"/>
        </w:rPr>
      </w:pPr>
      <w:r w:rsidRPr="00372A41">
        <w:rPr>
          <w:rFonts w:ascii="Cambria" w:hAnsi="Cambria"/>
          <w:sz w:val="28"/>
          <w:szCs w:val="28"/>
        </w:rPr>
        <w:t>İDARE MAHKEMESİ</w:t>
      </w:r>
    </w:p>
    <w:p w:rsidR="00372A41" w:rsidRDefault="00372A41" w:rsidP="00372A41">
      <w:pPr>
        <w:pStyle w:val="Gvdemetni0"/>
        <w:shd w:val="clear" w:color="auto" w:fill="auto"/>
        <w:spacing w:after="0" w:line="240" w:lineRule="atLeast"/>
        <w:jc w:val="both"/>
        <w:rPr>
          <w:rFonts w:ascii="Cambria" w:hAnsi="Cambria"/>
          <w:sz w:val="28"/>
          <w:szCs w:val="28"/>
        </w:rPr>
      </w:pPr>
    </w:p>
    <w:p w:rsidR="00372A41" w:rsidRDefault="00664B26" w:rsidP="00372A41">
      <w:pPr>
        <w:pStyle w:val="Gvdemetni0"/>
        <w:shd w:val="clear" w:color="auto" w:fill="auto"/>
        <w:spacing w:after="0" w:line="240" w:lineRule="atLeast"/>
        <w:jc w:val="both"/>
        <w:rPr>
          <w:rFonts w:ascii="Cambria" w:hAnsi="Cambria"/>
          <w:sz w:val="28"/>
          <w:szCs w:val="28"/>
        </w:rPr>
      </w:pPr>
      <w:r w:rsidRPr="00372A41">
        <w:rPr>
          <w:rFonts w:ascii="Cambria" w:hAnsi="Cambria"/>
          <w:sz w:val="28"/>
          <w:szCs w:val="28"/>
        </w:rPr>
        <w:t>ESAS NO</w:t>
      </w:r>
      <w:r w:rsidR="00A0500F">
        <w:rPr>
          <w:rFonts w:ascii="Cambria" w:hAnsi="Cambria"/>
          <w:sz w:val="28"/>
          <w:szCs w:val="28"/>
        </w:rPr>
        <w:tab/>
      </w:r>
      <w:r w:rsidR="00A0500F">
        <w:rPr>
          <w:rFonts w:ascii="Cambria" w:hAnsi="Cambria"/>
          <w:sz w:val="28"/>
          <w:szCs w:val="28"/>
        </w:rPr>
        <w:tab/>
      </w:r>
      <w:r w:rsidRPr="00372A41">
        <w:rPr>
          <w:rFonts w:ascii="Cambria" w:hAnsi="Cambria"/>
          <w:sz w:val="28"/>
          <w:szCs w:val="28"/>
        </w:rPr>
        <w:t xml:space="preserve">: 2013/114 </w:t>
      </w:r>
    </w:p>
    <w:p w:rsidR="00860DD1" w:rsidRPr="00372A41" w:rsidRDefault="00664B26" w:rsidP="00372A41">
      <w:pPr>
        <w:pStyle w:val="Gvdemetni0"/>
        <w:shd w:val="clear" w:color="auto" w:fill="auto"/>
        <w:spacing w:after="0" w:line="240" w:lineRule="atLeast"/>
        <w:jc w:val="both"/>
        <w:rPr>
          <w:rFonts w:ascii="Cambria" w:hAnsi="Cambria"/>
          <w:sz w:val="28"/>
          <w:szCs w:val="28"/>
        </w:rPr>
      </w:pPr>
      <w:r w:rsidRPr="00372A41">
        <w:rPr>
          <w:rStyle w:val="Gvdemetni2ptbolukbraklyor"/>
          <w:rFonts w:ascii="Cambria" w:hAnsi="Cambria"/>
          <w:sz w:val="28"/>
          <w:szCs w:val="28"/>
        </w:rPr>
        <w:t>KARAR</w:t>
      </w:r>
      <w:r w:rsidR="00A0500F">
        <w:rPr>
          <w:rFonts w:ascii="Cambria" w:hAnsi="Cambria"/>
          <w:sz w:val="28"/>
          <w:szCs w:val="28"/>
        </w:rPr>
        <w:t xml:space="preserve"> NO</w:t>
      </w:r>
      <w:r w:rsidR="00A0500F">
        <w:rPr>
          <w:rFonts w:ascii="Cambria" w:hAnsi="Cambria"/>
          <w:sz w:val="28"/>
          <w:szCs w:val="28"/>
        </w:rPr>
        <w:tab/>
      </w:r>
      <w:r w:rsidRPr="00372A41">
        <w:rPr>
          <w:rFonts w:ascii="Cambria" w:hAnsi="Cambria"/>
          <w:sz w:val="28"/>
          <w:szCs w:val="28"/>
        </w:rPr>
        <w:t>: 2014/584</w:t>
      </w:r>
    </w:p>
    <w:p w:rsidR="00372A41" w:rsidRDefault="00372A41" w:rsidP="00372A41">
      <w:pPr>
        <w:pStyle w:val="Gvdemetni0"/>
        <w:shd w:val="clear" w:color="auto" w:fill="auto"/>
        <w:tabs>
          <w:tab w:val="left" w:leader="underscore" w:pos="3890"/>
        </w:tabs>
        <w:spacing w:after="0" w:line="240" w:lineRule="atLeast"/>
        <w:jc w:val="both"/>
        <w:rPr>
          <w:rStyle w:val="Gvdemetni1"/>
          <w:rFonts w:ascii="Cambria" w:hAnsi="Cambria"/>
          <w:sz w:val="28"/>
          <w:szCs w:val="28"/>
          <w:u w:val="none"/>
        </w:rPr>
      </w:pPr>
    </w:p>
    <w:p w:rsidR="00860DD1" w:rsidRPr="00372A41" w:rsidRDefault="00664B26" w:rsidP="00372A41">
      <w:pPr>
        <w:pStyle w:val="Gvdemetni0"/>
        <w:shd w:val="clear" w:color="auto" w:fill="auto"/>
        <w:tabs>
          <w:tab w:val="left" w:leader="underscore" w:pos="0"/>
        </w:tabs>
        <w:spacing w:after="0" w:line="240" w:lineRule="atLeast"/>
        <w:jc w:val="both"/>
        <w:rPr>
          <w:rFonts w:ascii="Cambria" w:hAnsi="Cambria"/>
          <w:sz w:val="28"/>
          <w:szCs w:val="28"/>
        </w:rPr>
      </w:pPr>
      <w:r w:rsidRPr="00372A41">
        <w:rPr>
          <w:rStyle w:val="Gvdemetni1"/>
          <w:rFonts w:ascii="Cambria" w:hAnsi="Cambria"/>
          <w:sz w:val="28"/>
          <w:szCs w:val="28"/>
          <w:u w:val="none"/>
        </w:rPr>
        <w:t>DAVACI</w:t>
      </w:r>
      <w:r w:rsidRPr="00372A41">
        <w:rPr>
          <w:rFonts w:ascii="Cambria" w:hAnsi="Cambria"/>
          <w:sz w:val="28"/>
          <w:szCs w:val="28"/>
        </w:rPr>
        <w:tab/>
      </w:r>
      <w:r w:rsidR="00372A41">
        <w:rPr>
          <w:rFonts w:ascii="Cambria" w:hAnsi="Cambria"/>
          <w:sz w:val="28"/>
          <w:szCs w:val="28"/>
        </w:rPr>
        <w:tab/>
      </w:r>
      <w:r w:rsidRPr="00372A41">
        <w:rPr>
          <w:rFonts w:ascii="Cambria" w:hAnsi="Cambria"/>
          <w:sz w:val="28"/>
          <w:szCs w:val="28"/>
        </w:rPr>
        <w:t xml:space="preserve">: </w:t>
      </w:r>
    </w:p>
    <w:p w:rsidR="00860DD1" w:rsidRPr="00372A41" w:rsidRDefault="00664B26" w:rsidP="00372A41">
      <w:pPr>
        <w:pStyle w:val="Gvdemetni0"/>
        <w:shd w:val="clear" w:color="auto" w:fill="auto"/>
        <w:tabs>
          <w:tab w:val="left" w:leader="underscore" w:pos="0"/>
        </w:tabs>
        <w:spacing w:after="0" w:line="240" w:lineRule="atLeast"/>
        <w:jc w:val="both"/>
        <w:rPr>
          <w:rFonts w:ascii="Cambria" w:hAnsi="Cambria"/>
          <w:sz w:val="28"/>
          <w:szCs w:val="28"/>
        </w:rPr>
      </w:pPr>
      <w:r w:rsidRPr="00372A41">
        <w:rPr>
          <w:rStyle w:val="Gvdemetni1"/>
          <w:rFonts w:ascii="Cambria" w:hAnsi="Cambria"/>
          <w:sz w:val="28"/>
          <w:szCs w:val="28"/>
          <w:u w:val="none"/>
        </w:rPr>
        <w:t>DAVALILAR</w:t>
      </w:r>
      <w:r w:rsidR="00372A41">
        <w:rPr>
          <w:rFonts w:ascii="Cambria" w:hAnsi="Cambria"/>
          <w:sz w:val="28"/>
          <w:szCs w:val="28"/>
        </w:rPr>
        <w:tab/>
        <w:t>:</w:t>
      </w:r>
      <w:r w:rsidR="00372A41" w:rsidRPr="00372A41">
        <w:rPr>
          <w:rFonts w:ascii="Cambria" w:hAnsi="Cambria"/>
          <w:sz w:val="28"/>
          <w:szCs w:val="28"/>
        </w:rPr>
        <w:t>Tap</w:t>
      </w:r>
      <w:r w:rsidR="00372A41">
        <w:rPr>
          <w:rFonts w:ascii="Cambria" w:hAnsi="Cambria"/>
          <w:sz w:val="28"/>
          <w:szCs w:val="28"/>
        </w:rPr>
        <w:t>u Ve Kadastro Genel Müdürlüğü/</w:t>
      </w:r>
      <w:r w:rsidR="00372A41" w:rsidRPr="00372A41">
        <w:rPr>
          <w:rFonts w:ascii="Cambria" w:hAnsi="Cambria"/>
          <w:sz w:val="28"/>
          <w:szCs w:val="28"/>
        </w:rPr>
        <w:t>Ankara</w:t>
      </w:r>
    </w:p>
    <w:p w:rsidR="00372A41" w:rsidRDefault="00372A41" w:rsidP="00372A41">
      <w:pPr>
        <w:pStyle w:val="Gvdemetni0"/>
        <w:shd w:val="clear" w:color="auto" w:fill="auto"/>
        <w:tabs>
          <w:tab w:val="left" w:leader="underscore" w:pos="3914"/>
        </w:tabs>
        <w:spacing w:after="0" w:line="240" w:lineRule="atLeast"/>
        <w:jc w:val="both"/>
        <w:rPr>
          <w:rStyle w:val="Gvdemetni1"/>
          <w:rFonts w:ascii="Cambria" w:hAnsi="Cambria"/>
          <w:sz w:val="28"/>
          <w:szCs w:val="28"/>
          <w:u w:val="none"/>
        </w:rPr>
      </w:pPr>
    </w:p>
    <w:p w:rsidR="00372A41" w:rsidRDefault="00372A41" w:rsidP="00372A41">
      <w:pPr>
        <w:pStyle w:val="Gvdemetni0"/>
        <w:shd w:val="clear" w:color="auto" w:fill="auto"/>
        <w:tabs>
          <w:tab w:val="left" w:leader="underscore" w:pos="0"/>
        </w:tabs>
        <w:spacing w:after="0" w:line="240" w:lineRule="atLeast"/>
        <w:jc w:val="both"/>
        <w:rPr>
          <w:rFonts w:ascii="Cambria" w:hAnsi="Cambria"/>
          <w:sz w:val="28"/>
          <w:szCs w:val="28"/>
        </w:rPr>
      </w:pPr>
      <w:r>
        <w:rPr>
          <w:rStyle w:val="Gvdemetni1"/>
          <w:rFonts w:ascii="Cambria" w:hAnsi="Cambria"/>
          <w:sz w:val="28"/>
          <w:szCs w:val="28"/>
          <w:u w:val="none"/>
        </w:rPr>
        <w:tab/>
      </w:r>
      <w:r w:rsidR="00664B26" w:rsidRPr="00372A41">
        <w:rPr>
          <w:rStyle w:val="Gvdemetni1"/>
          <w:rFonts w:ascii="Cambria" w:hAnsi="Cambria"/>
          <w:sz w:val="28"/>
          <w:szCs w:val="28"/>
          <w:u w:val="none"/>
        </w:rPr>
        <w:t>DAVANIN ÖZETİ</w:t>
      </w:r>
      <w:r>
        <w:rPr>
          <w:rFonts w:ascii="Cambria" w:hAnsi="Cambria"/>
          <w:sz w:val="28"/>
          <w:szCs w:val="28"/>
        </w:rPr>
        <w:tab/>
      </w:r>
      <w:r w:rsidR="00664B26" w:rsidRPr="00372A41">
        <w:rPr>
          <w:rFonts w:ascii="Cambria" w:hAnsi="Cambria"/>
          <w:sz w:val="28"/>
          <w:szCs w:val="28"/>
        </w:rPr>
        <w:t xml:space="preserve">: </w:t>
      </w:r>
      <w:r>
        <w:rPr>
          <w:rFonts w:ascii="Cambria" w:hAnsi="Cambria"/>
          <w:sz w:val="28"/>
          <w:szCs w:val="28"/>
        </w:rPr>
        <w:t>...</w:t>
      </w:r>
      <w:r w:rsidR="00664B26" w:rsidRPr="00372A41">
        <w:rPr>
          <w:rFonts w:ascii="Cambria" w:hAnsi="Cambria"/>
          <w:sz w:val="28"/>
          <w:szCs w:val="28"/>
        </w:rPr>
        <w:t xml:space="preserve"> </w:t>
      </w:r>
      <w:r w:rsidR="00A0500F" w:rsidRPr="00372A41">
        <w:rPr>
          <w:rFonts w:ascii="Cambria" w:hAnsi="Cambria"/>
          <w:sz w:val="28"/>
          <w:szCs w:val="28"/>
        </w:rPr>
        <w:t>İli...</w:t>
      </w:r>
      <w:r w:rsidR="00664B26" w:rsidRPr="00372A41">
        <w:rPr>
          <w:rFonts w:ascii="Cambria" w:hAnsi="Cambria"/>
          <w:sz w:val="28"/>
          <w:szCs w:val="28"/>
        </w:rPr>
        <w:t xml:space="preserve"> </w:t>
      </w:r>
      <w:r w:rsidR="00A0500F" w:rsidRPr="00372A41">
        <w:rPr>
          <w:rFonts w:ascii="Cambria" w:hAnsi="Cambria"/>
          <w:sz w:val="28"/>
          <w:szCs w:val="28"/>
        </w:rPr>
        <w:t>Köyü...</w:t>
      </w:r>
      <w:r w:rsidR="00664B26" w:rsidRPr="00372A41">
        <w:rPr>
          <w:rFonts w:ascii="Cambria" w:hAnsi="Cambria"/>
          <w:sz w:val="28"/>
          <w:szCs w:val="28"/>
        </w:rPr>
        <w:t xml:space="preserve"> parsel </w:t>
      </w:r>
      <w:r w:rsidR="00A0500F" w:rsidRPr="00372A41">
        <w:rPr>
          <w:rFonts w:ascii="Cambria" w:hAnsi="Cambria"/>
          <w:sz w:val="28"/>
          <w:szCs w:val="28"/>
        </w:rPr>
        <w:t>sayılı...</w:t>
      </w:r>
      <w:r w:rsidR="00664B26" w:rsidRPr="00372A41">
        <w:rPr>
          <w:rFonts w:ascii="Cambria" w:hAnsi="Cambria"/>
          <w:sz w:val="28"/>
          <w:szCs w:val="28"/>
        </w:rPr>
        <w:t xml:space="preserve"> m</w:t>
      </w:r>
      <w:r w:rsidR="00664B26" w:rsidRPr="00372A41">
        <w:rPr>
          <w:rFonts w:ascii="Cambria" w:hAnsi="Cambria"/>
          <w:sz w:val="28"/>
          <w:szCs w:val="28"/>
          <w:vertAlign w:val="superscript"/>
        </w:rPr>
        <w:t>2</w:t>
      </w:r>
      <w:r w:rsidR="00664B26" w:rsidRPr="00372A41">
        <w:rPr>
          <w:rFonts w:ascii="Cambria" w:hAnsi="Cambria"/>
          <w:sz w:val="28"/>
          <w:szCs w:val="28"/>
        </w:rPr>
        <w:t xml:space="preserve"> büyüklüğündeki</w:t>
      </w:r>
      <w:r>
        <w:rPr>
          <w:rFonts w:ascii="Cambria" w:hAnsi="Cambria"/>
          <w:sz w:val="28"/>
          <w:szCs w:val="28"/>
        </w:rPr>
        <w:t xml:space="preserve"> </w:t>
      </w:r>
      <w:r w:rsidR="00A0500F" w:rsidRPr="00372A41">
        <w:rPr>
          <w:rFonts w:ascii="Cambria" w:hAnsi="Cambria"/>
          <w:sz w:val="28"/>
          <w:szCs w:val="28"/>
        </w:rPr>
        <w:t>taşınmazın...</w:t>
      </w:r>
      <w:r w:rsidR="00664B26" w:rsidRPr="00372A41">
        <w:rPr>
          <w:rFonts w:ascii="Cambria" w:hAnsi="Cambria"/>
          <w:sz w:val="28"/>
          <w:szCs w:val="28"/>
        </w:rPr>
        <w:t xml:space="preserve"> </w:t>
      </w:r>
      <w:r w:rsidR="00A0500F" w:rsidRPr="00372A41">
        <w:rPr>
          <w:rFonts w:ascii="Cambria" w:hAnsi="Cambria"/>
          <w:sz w:val="28"/>
          <w:szCs w:val="28"/>
        </w:rPr>
        <w:t>hissesini...</w:t>
      </w:r>
      <w:r w:rsidR="00664B26" w:rsidRPr="00372A41">
        <w:rPr>
          <w:rFonts w:ascii="Cambria" w:hAnsi="Cambria"/>
          <w:sz w:val="28"/>
          <w:szCs w:val="28"/>
        </w:rPr>
        <w:t xml:space="preserve"> 4. İcra Müdürlüğünde yürütülen icra takibi sonucunda yapılan ihale sonrasında alan davacının söz konusu taşınmazın adına tescil edilmesi istemiyle yaptığı başvurusunun reddine </w:t>
      </w:r>
      <w:r w:rsidR="00A0500F" w:rsidRPr="00372A41">
        <w:rPr>
          <w:rFonts w:ascii="Cambria" w:hAnsi="Cambria"/>
          <w:sz w:val="28"/>
          <w:szCs w:val="28"/>
        </w:rPr>
        <w:t>ilişkin...</w:t>
      </w:r>
      <w:r w:rsidR="00664B26" w:rsidRPr="00372A41">
        <w:rPr>
          <w:rFonts w:ascii="Cambria" w:hAnsi="Cambria"/>
          <w:sz w:val="28"/>
          <w:szCs w:val="28"/>
        </w:rPr>
        <w:t xml:space="preserve"> Tapu Müdürlüğü'nün 13.08.2012 gün ve 5021 sayılı işlemi ile bu işlemin onaylanmasına ilişkin işlemlerin; haksız ve hukuka aykırı olduğu iddiasıyla iptali istenilmektedir. </w:t>
      </w:r>
    </w:p>
    <w:p w:rsidR="00372A41" w:rsidRDefault="00372A41" w:rsidP="00372A41">
      <w:pPr>
        <w:pStyle w:val="Gvdemetni0"/>
        <w:shd w:val="clear" w:color="auto" w:fill="auto"/>
        <w:spacing w:after="0" w:line="240" w:lineRule="atLeast"/>
        <w:jc w:val="both"/>
        <w:rPr>
          <w:rFonts w:ascii="Cambria" w:hAnsi="Cambria"/>
          <w:sz w:val="28"/>
          <w:szCs w:val="28"/>
        </w:rPr>
      </w:pPr>
    </w:p>
    <w:p w:rsidR="00860DD1" w:rsidRPr="00372A41" w:rsidRDefault="00664B26" w:rsidP="00372A41">
      <w:pPr>
        <w:pStyle w:val="Gvdemetni0"/>
        <w:shd w:val="clear" w:color="auto" w:fill="auto"/>
        <w:spacing w:after="0" w:line="240" w:lineRule="atLeast"/>
        <w:ind w:firstLine="720"/>
        <w:jc w:val="both"/>
        <w:rPr>
          <w:rFonts w:ascii="Cambria" w:hAnsi="Cambria"/>
          <w:sz w:val="28"/>
          <w:szCs w:val="28"/>
        </w:rPr>
      </w:pPr>
      <w:r w:rsidRPr="00372A41">
        <w:rPr>
          <w:rStyle w:val="Gvdemetni1"/>
          <w:rFonts w:ascii="Cambria" w:hAnsi="Cambria"/>
          <w:sz w:val="28"/>
          <w:szCs w:val="28"/>
          <w:u w:val="none"/>
        </w:rPr>
        <w:t>DAVALI İDARELERİN</w:t>
      </w:r>
      <w:r w:rsidR="00372A41">
        <w:rPr>
          <w:rFonts w:ascii="Cambria" w:hAnsi="Cambria"/>
          <w:sz w:val="28"/>
          <w:szCs w:val="28"/>
        </w:rPr>
        <w:t xml:space="preserve"> </w:t>
      </w:r>
      <w:r w:rsidR="00372A41">
        <w:rPr>
          <w:rStyle w:val="Gvdemetni1"/>
          <w:rFonts w:ascii="Cambria" w:hAnsi="Cambria"/>
          <w:sz w:val="28"/>
          <w:szCs w:val="28"/>
          <w:u w:val="none"/>
        </w:rPr>
        <w:t>SAVUNMASININ ÖZETI</w:t>
      </w:r>
      <w:r w:rsidR="00372A41">
        <w:rPr>
          <w:rStyle w:val="Gvdemetni1"/>
          <w:rFonts w:ascii="Cambria" w:hAnsi="Cambria"/>
          <w:sz w:val="28"/>
          <w:szCs w:val="28"/>
          <w:u w:val="none"/>
        </w:rPr>
        <w:tab/>
      </w:r>
      <w:r w:rsidRPr="00372A41">
        <w:rPr>
          <w:rStyle w:val="Gvdemetni1"/>
          <w:rFonts w:ascii="Cambria" w:hAnsi="Cambria"/>
          <w:sz w:val="28"/>
          <w:szCs w:val="28"/>
          <w:u w:val="none"/>
        </w:rPr>
        <w:t>:</w:t>
      </w:r>
      <w:r w:rsidRPr="00372A41">
        <w:rPr>
          <w:rFonts w:ascii="Cambria" w:hAnsi="Cambria"/>
          <w:sz w:val="28"/>
          <w:szCs w:val="28"/>
        </w:rPr>
        <w:t xml:space="preserve"> Davanın adli yargı görev alanına girdiği, husumetin Gıda ve Tarım Bakanlığı'na yöneltilmesi gerektiği, kaldı ki dava konusu işlemin hukuka uygun olduğu belirtilerek, davanın reddi gerektiği savunulmaktadır.</w:t>
      </w:r>
    </w:p>
    <w:p w:rsidR="00372A41" w:rsidRDefault="00372A41" w:rsidP="00372A41">
      <w:pPr>
        <w:pStyle w:val="Balk10"/>
        <w:keepNext/>
        <w:keepLines/>
        <w:shd w:val="clear" w:color="auto" w:fill="auto"/>
        <w:spacing w:before="0" w:after="0" w:line="240" w:lineRule="atLeast"/>
        <w:jc w:val="both"/>
        <w:rPr>
          <w:rFonts w:ascii="Cambria" w:hAnsi="Cambria"/>
          <w:sz w:val="28"/>
          <w:szCs w:val="28"/>
        </w:rPr>
      </w:pPr>
      <w:bookmarkStart w:id="0" w:name="bookmark0"/>
    </w:p>
    <w:p w:rsidR="00860DD1" w:rsidRPr="00372A41" w:rsidRDefault="00664B26" w:rsidP="00372A41">
      <w:pPr>
        <w:pStyle w:val="Balk10"/>
        <w:keepNext/>
        <w:keepLines/>
        <w:shd w:val="clear" w:color="auto" w:fill="auto"/>
        <w:spacing w:before="0" w:after="0" w:line="240" w:lineRule="atLeast"/>
        <w:jc w:val="center"/>
        <w:rPr>
          <w:rFonts w:ascii="Cambria" w:hAnsi="Cambria"/>
          <w:sz w:val="28"/>
          <w:szCs w:val="28"/>
        </w:rPr>
      </w:pPr>
      <w:r w:rsidRPr="00372A41">
        <w:rPr>
          <w:rFonts w:ascii="Cambria" w:hAnsi="Cambria"/>
          <w:sz w:val="28"/>
          <w:szCs w:val="28"/>
        </w:rPr>
        <w:t>TÜRK MİLLETİ ADİNA</w:t>
      </w:r>
      <w:bookmarkEnd w:id="0"/>
    </w:p>
    <w:p w:rsidR="00372A41" w:rsidRDefault="00372A41" w:rsidP="00372A41">
      <w:pPr>
        <w:pStyle w:val="Gvdemetni0"/>
        <w:shd w:val="clear" w:color="auto" w:fill="auto"/>
        <w:spacing w:after="0" w:line="240" w:lineRule="atLeast"/>
        <w:ind w:firstLine="700"/>
        <w:jc w:val="both"/>
        <w:rPr>
          <w:rFonts w:ascii="Cambria" w:hAnsi="Cambria"/>
          <w:sz w:val="28"/>
          <w:szCs w:val="28"/>
        </w:rPr>
      </w:pPr>
    </w:p>
    <w:p w:rsidR="00860DD1" w:rsidRPr="00372A41" w:rsidRDefault="00664B26" w:rsidP="00372A41">
      <w:pPr>
        <w:pStyle w:val="Gvdemetni0"/>
        <w:shd w:val="clear" w:color="auto" w:fill="auto"/>
        <w:spacing w:after="0" w:line="240" w:lineRule="atLeast"/>
        <w:ind w:firstLine="700"/>
        <w:jc w:val="both"/>
        <w:rPr>
          <w:rFonts w:ascii="Cambria" w:hAnsi="Cambria"/>
          <w:sz w:val="28"/>
          <w:szCs w:val="28"/>
        </w:rPr>
      </w:pPr>
      <w:r w:rsidRPr="00372A41">
        <w:rPr>
          <w:rFonts w:ascii="Cambria" w:hAnsi="Cambria"/>
          <w:sz w:val="28"/>
          <w:szCs w:val="28"/>
        </w:rPr>
        <w:t>Karar veren Zonguldak İdare Mahkemesi'nce; dava dosyası, 2577 sayılı Kanunun 14. maddesi uyarınca incelenerek işin gereği görüşüldü:</w:t>
      </w:r>
    </w:p>
    <w:p w:rsidR="00372A41" w:rsidRDefault="00372A41" w:rsidP="00372A41">
      <w:pPr>
        <w:pStyle w:val="Gvdemetni0"/>
        <w:shd w:val="clear" w:color="auto" w:fill="auto"/>
        <w:spacing w:after="0" w:line="240" w:lineRule="atLeast"/>
        <w:ind w:firstLine="700"/>
        <w:jc w:val="both"/>
        <w:rPr>
          <w:rFonts w:ascii="Cambria" w:hAnsi="Cambria"/>
          <w:sz w:val="28"/>
          <w:szCs w:val="28"/>
        </w:rPr>
      </w:pPr>
    </w:p>
    <w:p w:rsidR="00860DD1" w:rsidRPr="00372A41" w:rsidRDefault="00664B26" w:rsidP="00372A41">
      <w:pPr>
        <w:pStyle w:val="Gvdemetni0"/>
        <w:shd w:val="clear" w:color="auto" w:fill="auto"/>
        <w:spacing w:after="0" w:line="240" w:lineRule="atLeast"/>
        <w:ind w:firstLine="700"/>
        <w:jc w:val="both"/>
        <w:rPr>
          <w:rFonts w:ascii="Cambria" w:hAnsi="Cambria"/>
          <w:sz w:val="28"/>
          <w:szCs w:val="28"/>
        </w:rPr>
      </w:pPr>
      <w:r w:rsidRPr="00372A41">
        <w:rPr>
          <w:rFonts w:ascii="Cambria" w:hAnsi="Cambria"/>
          <w:sz w:val="28"/>
          <w:szCs w:val="28"/>
        </w:rPr>
        <w:t xml:space="preserve">Dava; </w:t>
      </w:r>
      <w:r w:rsidR="00372A41">
        <w:rPr>
          <w:rFonts w:ascii="Cambria" w:hAnsi="Cambria"/>
          <w:sz w:val="28"/>
          <w:szCs w:val="28"/>
        </w:rPr>
        <w:t>...</w:t>
      </w:r>
      <w:r w:rsidRPr="00372A41">
        <w:rPr>
          <w:rFonts w:ascii="Cambria" w:hAnsi="Cambria"/>
          <w:sz w:val="28"/>
          <w:szCs w:val="28"/>
        </w:rPr>
        <w:t xml:space="preserve"> </w:t>
      </w:r>
      <w:r w:rsidR="00A0500F" w:rsidRPr="00372A41">
        <w:rPr>
          <w:rFonts w:ascii="Cambria" w:hAnsi="Cambria"/>
          <w:sz w:val="28"/>
          <w:szCs w:val="28"/>
        </w:rPr>
        <w:t>İli...</w:t>
      </w:r>
      <w:r w:rsidRPr="00372A41">
        <w:rPr>
          <w:rFonts w:ascii="Cambria" w:hAnsi="Cambria"/>
          <w:sz w:val="28"/>
          <w:szCs w:val="28"/>
        </w:rPr>
        <w:t xml:space="preserve"> </w:t>
      </w:r>
      <w:r w:rsidR="00A0500F" w:rsidRPr="00372A41">
        <w:rPr>
          <w:rFonts w:ascii="Cambria" w:hAnsi="Cambria"/>
          <w:sz w:val="28"/>
          <w:szCs w:val="28"/>
        </w:rPr>
        <w:t>Köyü...</w:t>
      </w:r>
      <w:r w:rsidRPr="00372A41">
        <w:rPr>
          <w:rFonts w:ascii="Cambria" w:hAnsi="Cambria"/>
          <w:sz w:val="28"/>
          <w:szCs w:val="28"/>
        </w:rPr>
        <w:t xml:space="preserve"> parsel </w:t>
      </w:r>
      <w:r w:rsidR="00A0500F" w:rsidRPr="00372A41">
        <w:rPr>
          <w:rFonts w:ascii="Cambria" w:hAnsi="Cambria"/>
          <w:sz w:val="28"/>
          <w:szCs w:val="28"/>
        </w:rPr>
        <w:t>sayılı...</w:t>
      </w:r>
      <w:r w:rsidRPr="00372A41">
        <w:rPr>
          <w:rFonts w:ascii="Cambria" w:hAnsi="Cambria"/>
          <w:sz w:val="28"/>
          <w:szCs w:val="28"/>
        </w:rPr>
        <w:t xml:space="preserve"> m</w:t>
      </w:r>
      <w:r w:rsidRPr="00372A41">
        <w:rPr>
          <w:rFonts w:ascii="Cambria" w:hAnsi="Cambria"/>
          <w:sz w:val="28"/>
          <w:szCs w:val="28"/>
          <w:vertAlign w:val="superscript"/>
        </w:rPr>
        <w:t>2</w:t>
      </w:r>
      <w:r w:rsidRPr="00372A41">
        <w:rPr>
          <w:rFonts w:ascii="Cambria" w:hAnsi="Cambria"/>
          <w:sz w:val="28"/>
          <w:szCs w:val="28"/>
        </w:rPr>
        <w:t xml:space="preserve"> büyüklüğündeki </w:t>
      </w:r>
      <w:r w:rsidR="00A0500F" w:rsidRPr="00372A41">
        <w:rPr>
          <w:rFonts w:ascii="Cambria" w:hAnsi="Cambria"/>
          <w:sz w:val="28"/>
          <w:szCs w:val="28"/>
        </w:rPr>
        <w:t>taşınmazın...</w:t>
      </w:r>
      <w:r w:rsidRPr="00372A41">
        <w:rPr>
          <w:rFonts w:ascii="Cambria" w:hAnsi="Cambria"/>
          <w:sz w:val="28"/>
          <w:szCs w:val="28"/>
        </w:rPr>
        <w:t xml:space="preserve"> </w:t>
      </w:r>
      <w:r w:rsidR="00A0500F" w:rsidRPr="00372A41">
        <w:rPr>
          <w:rFonts w:ascii="Cambria" w:hAnsi="Cambria"/>
          <w:sz w:val="28"/>
          <w:szCs w:val="28"/>
        </w:rPr>
        <w:t>hissesini...</w:t>
      </w:r>
      <w:r w:rsidRPr="00372A41">
        <w:rPr>
          <w:rFonts w:ascii="Cambria" w:hAnsi="Cambria"/>
          <w:sz w:val="28"/>
          <w:szCs w:val="28"/>
        </w:rPr>
        <w:t xml:space="preserve"> 4. icra Müdürlüğünde yürütülen icra takibi sonucunda yapılan ihale sonrasında alan davacının söz konusu taşınmazın adına tescil edilmesi istemiyle yaptığı başvurusunun reddine </w:t>
      </w:r>
      <w:r w:rsidR="00A0500F" w:rsidRPr="00372A41">
        <w:rPr>
          <w:rFonts w:ascii="Cambria" w:hAnsi="Cambria"/>
          <w:sz w:val="28"/>
          <w:szCs w:val="28"/>
        </w:rPr>
        <w:t>ilişkin...</w:t>
      </w:r>
      <w:r w:rsidRPr="00372A41">
        <w:rPr>
          <w:rFonts w:ascii="Cambria" w:hAnsi="Cambria"/>
          <w:sz w:val="28"/>
          <w:szCs w:val="28"/>
        </w:rPr>
        <w:t xml:space="preserve"> Tapu</w:t>
      </w:r>
      <w:r w:rsidR="00372A41">
        <w:rPr>
          <w:rFonts w:ascii="Cambria" w:hAnsi="Cambria"/>
          <w:sz w:val="28"/>
          <w:szCs w:val="28"/>
        </w:rPr>
        <w:t xml:space="preserve"> Müdürl</w:t>
      </w:r>
      <w:r w:rsidRPr="00372A41">
        <w:rPr>
          <w:rFonts w:ascii="Cambria" w:hAnsi="Cambria"/>
          <w:sz w:val="28"/>
          <w:szCs w:val="28"/>
        </w:rPr>
        <w:t>üğü'nün 13.08.2012 gün ve 5021 sayılı işlemi ile bu işlemin onaylanmasına ilişkin işlemlerin iptali istemiyle açılmıştır.</w:t>
      </w:r>
    </w:p>
    <w:p w:rsidR="00372A41" w:rsidRDefault="00372A41" w:rsidP="00372A41">
      <w:pPr>
        <w:pStyle w:val="Gvdemetni0"/>
        <w:shd w:val="clear" w:color="auto" w:fill="auto"/>
        <w:spacing w:after="0" w:line="240" w:lineRule="atLeast"/>
        <w:ind w:firstLine="700"/>
        <w:jc w:val="both"/>
        <w:rPr>
          <w:rFonts w:ascii="Cambria" w:hAnsi="Cambria"/>
          <w:sz w:val="28"/>
          <w:szCs w:val="28"/>
        </w:rPr>
      </w:pPr>
    </w:p>
    <w:p w:rsidR="00860DD1" w:rsidRPr="00372A41" w:rsidRDefault="00664B26" w:rsidP="00372A41">
      <w:pPr>
        <w:pStyle w:val="Gvdemetni0"/>
        <w:shd w:val="clear" w:color="auto" w:fill="auto"/>
        <w:spacing w:after="0" w:line="240" w:lineRule="atLeast"/>
        <w:ind w:firstLine="700"/>
        <w:jc w:val="both"/>
        <w:rPr>
          <w:rFonts w:ascii="Cambria" w:hAnsi="Cambria"/>
          <w:sz w:val="28"/>
          <w:szCs w:val="28"/>
        </w:rPr>
      </w:pPr>
      <w:r w:rsidRPr="00372A41">
        <w:rPr>
          <w:rFonts w:ascii="Cambria" w:hAnsi="Cambria"/>
          <w:sz w:val="28"/>
          <w:szCs w:val="28"/>
        </w:rPr>
        <w:t>2577 sayılı İdari Yargılama Usulü Kanunu'nun 14/3-a maddesinde dava dilekçelerinin "görev" yönünden ilk incelemelerinin yapılacağı, 15/1-a maddesinde de adli ve askeri yargının görevli olduğu konularda açılan davaların görev yönünden reddine karar verileceği belirtilmiştir.</w:t>
      </w:r>
    </w:p>
    <w:p w:rsidR="00372A41" w:rsidRDefault="00372A41" w:rsidP="00372A41">
      <w:pPr>
        <w:pStyle w:val="Gvdemetni0"/>
        <w:shd w:val="clear" w:color="auto" w:fill="auto"/>
        <w:spacing w:after="0" w:line="240" w:lineRule="atLeast"/>
        <w:ind w:firstLine="700"/>
        <w:jc w:val="both"/>
        <w:rPr>
          <w:rFonts w:ascii="Cambria" w:hAnsi="Cambria"/>
          <w:sz w:val="28"/>
          <w:szCs w:val="28"/>
        </w:rPr>
      </w:pPr>
    </w:p>
    <w:p w:rsidR="00860DD1" w:rsidRPr="00372A41" w:rsidRDefault="00664B26" w:rsidP="00372A41">
      <w:pPr>
        <w:pStyle w:val="Gvdemetni0"/>
        <w:shd w:val="clear" w:color="auto" w:fill="auto"/>
        <w:spacing w:after="0" w:line="240" w:lineRule="atLeast"/>
        <w:ind w:firstLine="700"/>
        <w:jc w:val="both"/>
        <w:rPr>
          <w:rFonts w:ascii="Cambria" w:hAnsi="Cambria"/>
          <w:sz w:val="28"/>
          <w:szCs w:val="28"/>
        </w:rPr>
      </w:pPr>
      <w:r w:rsidRPr="00372A41">
        <w:rPr>
          <w:rFonts w:ascii="Cambria" w:hAnsi="Cambria"/>
          <w:sz w:val="28"/>
          <w:szCs w:val="28"/>
        </w:rPr>
        <w:t xml:space="preserve">Diğer yandan, 4721 sayılı Türk Medeni Kanunu'nun 683. maddesinin birinci fıkrasında bir şeye malik olan kimsenin, hukuk düzeninin sınırları içinde, o şey üzerinde dilediği gibi kullanma, yararlanma ve tasarrufta bulunma yetkisine sahip olduğu, 705. maddesinde; "Taşınmaz mülkiyetinin kazanılması, tescille olur. Miras, mahkeme kararı, cebri icra, işgal, kamulaştırma halleri ile kanunda öngörülen diğer hallerde, mülkiyet tescilden önce kazanılır. Ancak, bu hallerde malikin tasarruf </w:t>
      </w:r>
      <w:r w:rsidRPr="00372A41">
        <w:rPr>
          <w:rFonts w:ascii="Cambria" w:hAnsi="Cambria"/>
          <w:sz w:val="28"/>
          <w:szCs w:val="28"/>
        </w:rPr>
        <w:lastRenderedPageBreak/>
        <w:t>işlemleri yapabilmesi, mülkiyetin tapu kütüğüne tescil edilmiş olmasına bağlıdır." 1006. maddesinde; "Tapu idarelerinin kuruluş, işleyiş ve hizmetlerinin yürütülmesi, özel kanun hükümlerine tabidir." 1027. maddesinin birinci fıkrasında da "İlgililerin yazılı rızaları olmadıkça, tapu memuru, tapu sicilindeki yanlışlığı ancak mahkeme kararıyla düzeltebilir." hükmü yer almıştır.</w:t>
      </w:r>
    </w:p>
    <w:p w:rsidR="0050581E" w:rsidRDefault="0050581E" w:rsidP="00372A41">
      <w:pPr>
        <w:pStyle w:val="Gvdemetni0"/>
        <w:shd w:val="clear" w:color="auto" w:fill="auto"/>
        <w:spacing w:after="0" w:line="240" w:lineRule="atLeast"/>
        <w:ind w:firstLine="700"/>
        <w:jc w:val="both"/>
        <w:rPr>
          <w:rFonts w:ascii="Cambria" w:hAnsi="Cambria"/>
          <w:sz w:val="28"/>
          <w:szCs w:val="28"/>
        </w:rPr>
      </w:pPr>
    </w:p>
    <w:p w:rsidR="00860DD1" w:rsidRPr="00372A41" w:rsidRDefault="00664B26" w:rsidP="00A0500F">
      <w:pPr>
        <w:pStyle w:val="Gvdemetni0"/>
        <w:shd w:val="clear" w:color="auto" w:fill="auto"/>
        <w:spacing w:after="0" w:line="240" w:lineRule="atLeast"/>
        <w:ind w:firstLine="700"/>
        <w:jc w:val="both"/>
        <w:rPr>
          <w:rFonts w:ascii="Cambria" w:hAnsi="Cambria"/>
          <w:sz w:val="28"/>
          <w:szCs w:val="28"/>
        </w:rPr>
      </w:pPr>
      <w:r w:rsidRPr="00372A41">
        <w:rPr>
          <w:rFonts w:ascii="Cambria" w:hAnsi="Cambria"/>
          <w:sz w:val="28"/>
          <w:szCs w:val="28"/>
        </w:rPr>
        <w:t>Anılan Kanunun öngördüğü tapu sicillerinin düzenli bir biçimde tutulmasını sağlamak amacıyla hazırlanan ve 07.06.1994 gün ve 21953 sayılı Resmi Gazetede yayımlanarak yürürlüğe giren Tapu Sicili Tüzüğü'nün 2. ma</w:t>
      </w:r>
      <w:r w:rsidR="00A0500F">
        <w:rPr>
          <w:rFonts w:ascii="Cambria" w:hAnsi="Cambria"/>
          <w:sz w:val="28"/>
          <w:szCs w:val="28"/>
        </w:rPr>
        <w:t>ddesinde "Bu Tüzük, mülkiyet ve</w:t>
      </w:r>
      <w:r w:rsidRPr="00372A41">
        <w:rPr>
          <w:rFonts w:ascii="Cambria" w:hAnsi="Cambria"/>
          <w:sz w:val="28"/>
          <w:szCs w:val="28"/>
        </w:rPr>
        <w:t xml:space="preserve"> </w:t>
      </w:r>
      <w:r w:rsidR="00A0500F">
        <w:rPr>
          <w:rFonts w:ascii="Cambria" w:hAnsi="Cambria"/>
          <w:sz w:val="28"/>
          <w:szCs w:val="28"/>
        </w:rPr>
        <w:t>mülkiyet</w:t>
      </w:r>
      <w:r w:rsidRPr="00372A41">
        <w:rPr>
          <w:rFonts w:ascii="Cambria" w:hAnsi="Cambria"/>
          <w:sz w:val="28"/>
          <w:szCs w:val="28"/>
        </w:rPr>
        <w:t xml:space="preserve"> dışındaki aynî ve şahsî hakların tapu siciline tescil edilme koşullarını, tescil, değişiklik, terkin ve</w:t>
      </w:r>
      <w:r w:rsidR="0050581E">
        <w:rPr>
          <w:rFonts w:ascii="Cambria" w:hAnsi="Cambria"/>
          <w:sz w:val="28"/>
          <w:szCs w:val="28"/>
        </w:rPr>
        <w:t xml:space="preserve"> </w:t>
      </w:r>
      <w:r w:rsidRPr="00372A41">
        <w:rPr>
          <w:rStyle w:val="Gvdemetni3105ptKalnDeil0ptbolukbraklyor"/>
          <w:rFonts w:ascii="Cambria" w:hAnsi="Cambria"/>
          <w:b w:val="0"/>
          <w:sz w:val="28"/>
          <w:szCs w:val="28"/>
        </w:rPr>
        <w:t>düzeltme işlem</w:t>
      </w:r>
      <w:r w:rsidR="00A0500F">
        <w:rPr>
          <w:rStyle w:val="Gvdemetni3105ptKalnDeil0ptbolukbraklyor"/>
          <w:rFonts w:ascii="Cambria" w:hAnsi="Cambria"/>
          <w:b w:val="0"/>
          <w:sz w:val="28"/>
          <w:szCs w:val="28"/>
        </w:rPr>
        <w:t>lerini kapsar.". 81. maddesinin</w:t>
      </w:r>
      <w:r w:rsidRPr="00372A41">
        <w:rPr>
          <w:rStyle w:val="Gvdemetni3105ptKalnDeil0ptbolukbraklyor"/>
          <w:rFonts w:ascii="Cambria" w:hAnsi="Cambria"/>
          <w:b w:val="0"/>
          <w:sz w:val="28"/>
          <w:szCs w:val="28"/>
        </w:rPr>
        <w:t xml:space="preserve"> birinci fıkrasında da;</w:t>
      </w:r>
      <w:r w:rsidRPr="00372A41">
        <w:rPr>
          <w:rFonts w:ascii="Cambria" w:hAnsi="Cambria"/>
          <w:sz w:val="28"/>
          <w:szCs w:val="28"/>
        </w:rPr>
        <w:t xml:space="preserve"> "Tapu sicilinde değişiklik, hak sahibinin veya yetkili makamın istemi ya da mahkeme kararına davalı olarak yapılır."kuralı yer almıştır.</w:t>
      </w:r>
    </w:p>
    <w:p w:rsidR="00A0500F" w:rsidRDefault="00A0500F" w:rsidP="00372A41">
      <w:pPr>
        <w:pStyle w:val="Gvdemetni0"/>
        <w:shd w:val="clear" w:color="auto" w:fill="auto"/>
        <w:spacing w:after="0" w:line="240" w:lineRule="atLeast"/>
        <w:ind w:firstLine="700"/>
        <w:jc w:val="both"/>
        <w:rPr>
          <w:rFonts w:ascii="Cambria" w:hAnsi="Cambria"/>
          <w:sz w:val="28"/>
          <w:szCs w:val="28"/>
        </w:rPr>
      </w:pPr>
    </w:p>
    <w:p w:rsidR="00860DD1" w:rsidRPr="00372A41" w:rsidRDefault="00664B26" w:rsidP="00372A41">
      <w:pPr>
        <w:pStyle w:val="Gvdemetni0"/>
        <w:shd w:val="clear" w:color="auto" w:fill="auto"/>
        <w:spacing w:after="0" w:line="240" w:lineRule="atLeast"/>
        <w:ind w:firstLine="700"/>
        <w:jc w:val="both"/>
        <w:rPr>
          <w:rFonts w:ascii="Cambria" w:hAnsi="Cambria"/>
          <w:sz w:val="28"/>
          <w:szCs w:val="28"/>
        </w:rPr>
      </w:pPr>
      <w:r w:rsidRPr="00372A41">
        <w:rPr>
          <w:rFonts w:ascii="Cambria" w:hAnsi="Cambria"/>
          <w:sz w:val="28"/>
          <w:szCs w:val="28"/>
        </w:rPr>
        <w:t>Yukarıda yer verilen mevzuat hükümlerinin birlikte değerlendirilmesinden; ilgililerin yazılı onaylan yoksa yargı kararı olmadıkça tapu kayıtları üzerinde hiçbir değişiklik yapılamayacağı, tapu kayıtları üzerinde tescil, terkin ve tahsis gibi istem ve işlemlere ilişkin davaların görüm ve çözümünün ise adli yargının görev alanına girdiği sonucuna varılmıştır.</w:t>
      </w:r>
    </w:p>
    <w:p w:rsidR="00A0500F" w:rsidRDefault="00A0500F" w:rsidP="00372A41">
      <w:pPr>
        <w:pStyle w:val="Gvdemetni0"/>
        <w:shd w:val="clear" w:color="auto" w:fill="auto"/>
        <w:spacing w:after="0" w:line="240" w:lineRule="atLeast"/>
        <w:ind w:firstLine="700"/>
        <w:jc w:val="both"/>
        <w:rPr>
          <w:rFonts w:ascii="Cambria" w:hAnsi="Cambria"/>
          <w:sz w:val="28"/>
          <w:szCs w:val="28"/>
        </w:rPr>
      </w:pPr>
    </w:p>
    <w:p w:rsidR="00860DD1" w:rsidRPr="00372A41" w:rsidRDefault="00664B26" w:rsidP="00372A41">
      <w:pPr>
        <w:pStyle w:val="Gvdemetni0"/>
        <w:shd w:val="clear" w:color="auto" w:fill="auto"/>
        <w:spacing w:after="0" w:line="240" w:lineRule="atLeast"/>
        <w:ind w:firstLine="700"/>
        <w:jc w:val="both"/>
        <w:rPr>
          <w:rFonts w:ascii="Cambria" w:hAnsi="Cambria"/>
          <w:sz w:val="28"/>
          <w:szCs w:val="28"/>
        </w:rPr>
      </w:pPr>
      <w:r w:rsidRPr="00372A41">
        <w:rPr>
          <w:rFonts w:ascii="Cambria" w:hAnsi="Cambria"/>
          <w:sz w:val="28"/>
          <w:szCs w:val="28"/>
        </w:rPr>
        <w:t xml:space="preserve">Dava dosyasının incelenmesinden; </w:t>
      </w:r>
      <w:r w:rsidR="00A0500F">
        <w:rPr>
          <w:rFonts w:ascii="Cambria" w:hAnsi="Cambria"/>
          <w:sz w:val="28"/>
          <w:szCs w:val="28"/>
        </w:rPr>
        <w:t>...</w:t>
      </w:r>
      <w:r w:rsidRPr="00372A41">
        <w:rPr>
          <w:rFonts w:ascii="Cambria" w:hAnsi="Cambria"/>
          <w:sz w:val="28"/>
          <w:szCs w:val="28"/>
        </w:rPr>
        <w:t xml:space="preserve"> </w:t>
      </w:r>
      <w:r w:rsidR="00A0500F" w:rsidRPr="00372A41">
        <w:rPr>
          <w:rFonts w:ascii="Cambria" w:hAnsi="Cambria"/>
          <w:sz w:val="28"/>
          <w:szCs w:val="28"/>
        </w:rPr>
        <w:t>İli...</w:t>
      </w:r>
      <w:r w:rsidRPr="00372A41">
        <w:rPr>
          <w:rFonts w:ascii="Cambria" w:hAnsi="Cambria"/>
          <w:sz w:val="28"/>
          <w:szCs w:val="28"/>
        </w:rPr>
        <w:t xml:space="preserve"> </w:t>
      </w:r>
      <w:r w:rsidR="00A0500F" w:rsidRPr="00372A41">
        <w:rPr>
          <w:rFonts w:ascii="Cambria" w:hAnsi="Cambria"/>
          <w:sz w:val="28"/>
          <w:szCs w:val="28"/>
        </w:rPr>
        <w:t>Köyü...</w:t>
      </w:r>
      <w:r w:rsidRPr="00372A41">
        <w:rPr>
          <w:rFonts w:ascii="Cambria" w:hAnsi="Cambria"/>
          <w:sz w:val="28"/>
          <w:szCs w:val="28"/>
        </w:rPr>
        <w:t xml:space="preserve"> parsel </w:t>
      </w:r>
      <w:r w:rsidR="00A0500F" w:rsidRPr="00372A41">
        <w:rPr>
          <w:rFonts w:ascii="Cambria" w:hAnsi="Cambria"/>
          <w:sz w:val="28"/>
          <w:szCs w:val="28"/>
        </w:rPr>
        <w:t>sayılı...</w:t>
      </w:r>
      <w:r w:rsidRPr="00372A41">
        <w:rPr>
          <w:rFonts w:ascii="Cambria" w:hAnsi="Cambria"/>
          <w:sz w:val="28"/>
          <w:szCs w:val="28"/>
        </w:rPr>
        <w:t xml:space="preserve"> m</w:t>
      </w:r>
      <w:r w:rsidRPr="00372A41">
        <w:rPr>
          <w:rFonts w:ascii="Cambria" w:hAnsi="Cambria"/>
          <w:sz w:val="28"/>
          <w:szCs w:val="28"/>
          <w:vertAlign w:val="superscript"/>
        </w:rPr>
        <w:t xml:space="preserve">2 </w:t>
      </w:r>
      <w:r w:rsidRPr="00372A41">
        <w:rPr>
          <w:rFonts w:ascii="Cambria" w:hAnsi="Cambria"/>
          <w:sz w:val="28"/>
          <w:szCs w:val="28"/>
        </w:rPr>
        <w:t xml:space="preserve">büyüklüğündeki </w:t>
      </w:r>
      <w:r w:rsidR="00A0500F" w:rsidRPr="00372A41">
        <w:rPr>
          <w:rFonts w:ascii="Cambria" w:hAnsi="Cambria"/>
          <w:sz w:val="28"/>
          <w:szCs w:val="28"/>
        </w:rPr>
        <w:t>taşınmazın...</w:t>
      </w:r>
      <w:r w:rsidRPr="00372A41">
        <w:rPr>
          <w:rFonts w:ascii="Cambria" w:hAnsi="Cambria"/>
          <w:sz w:val="28"/>
          <w:szCs w:val="28"/>
        </w:rPr>
        <w:t xml:space="preserve"> hissesi M</w:t>
      </w:r>
      <w:r w:rsidR="00A0500F">
        <w:rPr>
          <w:rFonts w:ascii="Cambria" w:hAnsi="Cambria"/>
          <w:sz w:val="28"/>
          <w:szCs w:val="28"/>
        </w:rPr>
        <w:t>.</w:t>
      </w:r>
      <w:r w:rsidRPr="00372A41">
        <w:rPr>
          <w:rFonts w:ascii="Cambria" w:hAnsi="Cambria"/>
          <w:sz w:val="28"/>
          <w:szCs w:val="28"/>
        </w:rPr>
        <w:t>D</w:t>
      </w:r>
      <w:r w:rsidR="00A0500F">
        <w:rPr>
          <w:rFonts w:ascii="Cambria" w:hAnsi="Cambria"/>
          <w:sz w:val="28"/>
          <w:szCs w:val="28"/>
        </w:rPr>
        <w:t>.</w:t>
      </w:r>
      <w:r w:rsidRPr="00372A41">
        <w:rPr>
          <w:rFonts w:ascii="Cambria" w:hAnsi="Cambria"/>
          <w:sz w:val="28"/>
          <w:szCs w:val="28"/>
        </w:rPr>
        <w:t>B</w:t>
      </w:r>
      <w:r w:rsidR="00A0500F">
        <w:rPr>
          <w:rFonts w:ascii="Cambria" w:hAnsi="Cambria"/>
          <w:sz w:val="28"/>
          <w:szCs w:val="28"/>
        </w:rPr>
        <w:t>.</w:t>
      </w:r>
      <w:r w:rsidRPr="00372A41">
        <w:rPr>
          <w:rFonts w:ascii="Cambria" w:hAnsi="Cambria"/>
          <w:sz w:val="28"/>
          <w:szCs w:val="28"/>
        </w:rPr>
        <w:t xml:space="preserve"> adına kayıtlı iken </w:t>
      </w:r>
      <w:r w:rsidR="00A0500F">
        <w:rPr>
          <w:rFonts w:ascii="Cambria" w:hAnsi="Cambria"/>
          <w:sz w:val="28"/>
          <w:szCs w:val="28"/>
        </w:rPr>
        <w:t>...</w:t>
      </w:r>
      <w:r w:rsidRPr="00372A41">
        <w:rPr>
          <w:rFonts w:ascii="Cambria" w:hAnsi="Cambria"/>
          <w:sz w:val="28"/>
          <w:szCs w:val="28"/>
        </w:rPr>
        <w:t xml:space="preserve"> 4. </w:t>
      </w:r>
      <w:r w:rsidR="00A0500F" w:rsidRPr="00372A41">
        <w:rPr>
          <w:rFonts w:ascii="Cambria" w:hAnsi="Cambria"/>
          <w:sz w:val="28"/>
          <w:szCs w:val="28"/>
        </w:rPr>
        <w:t xml:space="preserve">İcra </w:t>
      </w:r>
      <w:r w:rsidRPr="00372A41">
        <w:rPr>
          <w:rFonts w:ascii="Cambria" w:hAnsi="Cambria"/>
          <w:sz w:val="28"/>
          <w:szCs w:val="28"/>
        </w:rPr>
        <w:t xml:space="preserve">Müdürlüğünde yürütülen icra takibi sonucunda </w:t>
      </w:r>
      <w:r w:rsidR="00A0500F">
        <w:rPr>
          <w:rFonts w:ascii="Cambria" w:hAnsi="Cambria"/>
          <w:sz w:val="28"/>
          <w:szCs w:val="28"/>
        </w:rPr>
        <w:t>...</w:t>
      </w:r>
      <w:r w:rsidRPr="00372A41">
        <w:rPr>
          <w:rFonts w:ascii="Cambria" w:hAnsi="Cambria"/>
          <w:sz w:val="28"/>
          <w:szCs w:val="28"/>
        </w:rPr>
        <w:t xml:space="preserve"> İcra Müdürlüğüne talimat ile yaptırılan ihale sonrasında davacı tarafından satın alındığı, davacının söz konusu taşınmazın adına tescil edilmesi istemiyle yaptığı başvurusunun </w:t>
      </w:r>
      <w:r w:rsidR="00A0500F">
        <w:rPr>
          <w:rFonts w:ascii="Cambria" w:hAnsi="Cambria"/>
          <w:sz w:val="28"/>
          <w:szCs w:val="28"/>
        </w:rPr>
        <w:t>...</w:t>
      </w:r>
      <w:r w:rsidRPr="00372A41">
        <w:rPr>
          <w:rFonts w:ascii="Cambria" w:hAnsi="Cambria"/>
          <w:sz w:val="28"/>
          <w:szCs w:val="28"/>
        </w:rPr>
        <w:t xml:space="preserve"> Tapu Müdürlüğü'nün dava konusu işlemi ile 5403 sayılı Kanunun 8. maddesi gerekçe gösterilerek reddedildiği, bu işlemin dava konusu işlemlerle onaylanması üzerine bakılan davanın açıldığı anlaşılmıştır.</w:t>
      </w:r>
    </w:p>
    <w:p w:rsidR="00A0500F" w:rsidRDefault="00A0500F" w:rsidP="00372A41">
      <w:pPr>
        <w:pStyle w:val="Gvdemetni0"/>
        <w:shd w:val="clear" w:color="auto" w:fill="auto"/>
        <w:spacing w:after="0" w:line="240" w:lineRule="atLeast"/>
        <w:ind w:firstLine="700"/>
        <w:jc w:val="both"/>
        <w:rPr>
          <w:rFonts w:ascii="Cambria" w:hAnsi="Cambria"/>
          <w:sz w:val="28"/>
          <w:szCs w:val="28"/>
        </w:rPr>
      </w:pPr>
    </w:p>
    <w:p w:rsidR="00860DD1" w:rsidRPr="00372A41" w:rsidRDefault="00664B26" w:rsidP="00372A41">
      <w:pPr>
        <w:pStyle w:val="Gvdemetni0"/>
        <w:shd w:val="clear" w:color="auto" w:fill="auto"/>
        <w:spacing w:after="0" w:line="240" w:lineRule="atLeast"/>
        <w:ind w:firstLine="700"/>
        <w:jc w:val="both"/>
        <w:rPr>
          <w:rFonts w:ascii="Cambria" w:hAnsi="Cambria"/>
          <w:sz w:val="28"/>
          <w:szCs w:val="28"/>
        </w:rPr>
      </w:pPr>
      <w:r w:rsidRPr="00372A41">
        <w:rPr>
          <w:rFonts w:ascii="Cambria" w:hAnsi="Cambria"/>
          <w:sz w:val="28"/>
          <w:szCs w:val="28"/>
        </w:rPr>
        <w:t>Bu durumda; dav</w:t>
      </w:r>
      <w:r w:rsidR="00A0500F">
        <w:rPr>
          <w:rFonts w:ascii="Cambria" w:hAnsi="Cambria"/>
          <w:sz w:val="28"/>
          <w:szCs w:val="28"/>
        </w:rPr>
        <w:t>acı tarafından icra yolu ile bel</w:t>
      </w:r>
      <w:r w:rsidRPr="00372A41">
        <w:rPr>
          <w:rFonts w:ascii="Cambria" w:hAnsi="Cambria"/>
          <w:sz w:val="28"/>
          <w:szCs w:val="28"/>
        </w:rPr>
        <w:t>irli hisseleri satın alınan taşınmazların devir ve tescili işlemleri davalı idarece bir kanun hükmü dayanak alınarak, kamu gücü kullanımı ile tek yanlı olarak kısıtlanmakta ise de; bu sınırlandırmanın mülkiyet hakkı ve bu hakka dayanılarak yapılabilecek olan tasarruf işlemlerine ilişkin bulunduğu ve tapu kayıtları üzerinde yapılacak tescil, terkin ve tashih işlemlerine ilişkin davaların görüm ve çözümünün adli yargının görev alanına girdiği sonucuna ulaşılmaktadır.</w:t>
      </w:r>
    </w:p>
    <w:p w:rsidR="00A0500F" w:rsidRDefault="00A0500F" w:rsidP="00372A41">
      <w:pPr>
        <w:pStyle w:val="Gvdemetni0"/>
        <w:shd w:val="clear" w:color="auto" w:fill="auto"/>
        <w:spacing w:after="0" w:line="240" w:lineRule="atLeast"/>
        <w:ind w:firstLine="700"/>
        <w:jc w:val="both"/>
        <w:rPr>
          <w:rFonts w:ascii="Cambria" w:hAnsi="Cambria"/>
          <w:sz w:val="28"/>
          <w:szCs w:val="28"/>
        </w:rPr>
      </w:pPr>
    </w:p>
    <w:p w:rsidR="00860DD1" w:rsidRPr="00372A41" w:rsidRDefault="00664B26" w:rsidP="00A0500F">
      <w:pPr>
        <w:pStyle w:val="Gvdemetni0"/>
        <w:shd w:val="clear" w:color="auto" w:fill="auto"/>
        <w:spacing w:after="0" w:line="240" w:lineRule="atLeast"/>
        <w:ind w:firstLine="700"/>
        <w:jc w:val="both"/>
        <w:rPr>
          <w:rFonts w:ascii="Cambria" w:hAnsi="Cambria"/>
          <w:sz w:val="28"/>
          <w:szCs w:val="28"/>
        </w:rPr>
      </w:pPr>
      <w:r w:rsidRPr="00372A41">
        <w:rPr>
          <w:rFonts w:ascii="Cambria" w:hAnsi="Cambria"/>
          <w:sz w:val="28"/>
          <w:szCs w:val="28"/>
        </w:rPr>
        <w:t>Açıklanan nedenlerle; 2577 sayılı İdari Yargılama Usulü Yasasının 15/1-a maddesi uyarınca</w:t>
      </w:r>
      <w:r w:rsidRPr="00372A41">
        <w:rPr>
          <w:rStyle w:val="Gvdemetni10ptKaln0ptbolukbraklyor"/>
          <w:rFonts w:ascii="Cambria" w:hAnsi="Cambria"/>
          <w:b w:val="0"/>
          <w:sz w:val="28"/>
          <w:szCs w:val="28"/>
        </w:rPr>
        <w:t xml:space="preserve"> davanın görev yönünden reddine,</w:t>
      </w:r>
      <w:r w:rsidRPr="00372A41">
        <w:rPr>
          <w:rFonts w:ascii="Cambria" w:hAnsi="Cambria"/>
          <w:sz w:val="28"/>
          <w:szCs w:val="28"/>
        </w:rPr>
        <w:t xml:space="preserve"> aşağıda dökümü yapılan 111,60-TL yargılama giderinin davacı üzerinde bırakılmasına, 659 sayılı Kanun Hükmünde Kararname ve Avukatlık Asgari Ücret Tarifesi uyarınca 750,00-TL avukatlık ücretinin davacıdan alınarak hukuk müşavirle temsil edilen davalı Tapu </w:t>
      </w:r>
      <w:r w:rsidR="00A0500F">
        <w:rPr>
          <w:rFonts w:ascii="Cambria" w:hAnsi="Cambria"/>
          <w:sz w:val="28"/>
          <w:szCs w:val="28"/>
        </w:rPr>
        <w:t xml:space="preserve">ve Kadastro Genel Müdürlüğü'ne verilmesine, </w:t>
      </w:r>
      <w:r w:rsidRPr="00372A41">
        <w:rPr>
          <w:rFonts w:ascii="Cambria" w:hAnsi="Cambria"/>
          <w:sz w:val="28"/>
          <w:szCs w:val="28"/>
        </w:rPr>
        <w:t>artan posta giderinin kararın kesinleşmesinden sonra davacıya, iadesine, kararın tebliğinin izleyen günden itibaren 30 gün içerisinde Danıştay</w:t>
      </w:r>
      <w:r w:rsidR="00A0500F">
        <w:rPr>
          <w:rFonts w:ascii="Cambria" w:hAnsi="Cambria"/>
          <w:sz w:val="28"/>
          <w:szCs w:val="28"/>
        </w:rPr>
        <w:t>’</w:t>
      </w:r>
      <w:r w:rsidRPr="00372A41">
        <w:rPr>
          <w:rFonts w:ascii="Cambria" w:hAnsi="Cambria"/>
          <w:sz w:val="28"/>
          <w:szCs w:val="28"/>
        </w:rPr>
        <w:t>a temyiz yolu açık olmak üzere, 20/03/2014 tarihinde oybirliğiyle karar verildi.</w:t>
      </w:r>
    </w:p>
    <w:sectPr w:rsidR="00860DD1" w:rsidRPr="00372A41" w:rsidSect="00372A41">
      <w:headerReference w:type="even" r:id="rId6"/>
      <w:headerReference w:type="default" r:id="rId7"/>
      <w:footerReference w:type="even" r:id="rId8"/>
      <w:footerReference w:type="default" r:id="rId9"/>
      <w:headerReference w:type="first" r:id="rId10"/>
      <w:footerReference w:type="first" r:id="rId11"/>
      <w:type w:val="continuous"/>
      <w:pgSz w:w="11905" w:h="16837"/>
      <w:pgMar w:top="851" w:right="851" w:bottom="851" w:left="851" w:header="0" w:footer="6"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FE1" w:rsidRDefault="00924FE1" w:rsidP="00860DD1">
      <w:r>
        <w:separator/>
      </w:r>
    </w:p>
  </w:endnote>
  <w:endnote w:type="continuationSeparator" w:id="1">
    <w:p w:rsidR="00924FE1" w:rsidRDefault="00924FE1" w:rsidP="00860DD1">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41" w:rsidRDefault="00372A4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41" w:rsidRDefault="00372A4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41" w:rsidRDefault="00372A4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FE1" w:rsidRDefault="00924FE1"/>
  </w:footnote>
  <w:footnote w:type="continuationSeparator" w:id="1">
    <w:p w:rsidR="00924FE1" w:rsidRDefault="00924FE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41" w:rsidRDefault="00372A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45052" o:spid="_x0000_s2050" type="#_x0000_t136" style="position:absolute;margin-left:0;margin-top:0;width:846.75pt;height:36pt;rotation:315;z-index:-251658752;mso-position-horizontal:center;mso-position-horizontal-relative:margin;mso-position-vertical:center;mso-position-vertical-relative:margin" o:allowincell="f" fillcolor="#002060" stroked="f">
          <v:fill opacity=".5"/>
          <v:textpath style="font-family:&quot;Tahoma&quot;;font-size:30pt" string="http://www.tkgm.gov.tr./tr/daire-başkanliklari/hukuk-müsavirligi"/>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41" w:rsidRDefault="00372A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45053" o:spid="_x0000_s2051" type="#_x0000_t136" style="position:absolute;margin-left:0;margin-top:0;width:846.75pt;height:36pt;rotation:315;z-index:-251657728;mso-position-horizontal:center;mso-position-horizontal-relative:margin;mso-position-vertical:center;mso-position-vertical-relative:margin" o:allowincell="f" fillcolor="#002060" stroked="f">
          <v:fill opacity=".5"/>
          <v:textpath style="font-family:&quot;Tahoma&quot;;font-size:30pt" string="http://www.tkgm.gov.tr./tr/daire-başkanliklari/hukuk-müsavirligi"/>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41" w:rsidRDefault="00372A41">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445051" o:spid="_x0000_s2049" type="#_x0000_t136" style="position:absolute;margin-left:0;margin-top:0;width:846.75pt;height:36pt;rotation:315;z-index:-251659776;mso-position-horizontal:center;mso-position-horizontal-relative:margin;mso-position-vertical:center;mso-position-vertical-relative:margin" o:allowincell="f" fillcolor="#002060" stroked="f">
          <v:fill opacity=".5"/>
          <v:textpath style="font-family:&quot;Tahoma&quot;;font-size:30pt" string="http://www.tkgm.gov.tr./tr/daire-başkanliklari/hukuk-müsavirligi"/>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81"/>
  <w:drawingGridVerticalSpacing w:val="181"/>
  <w:characterSpacingControl w:val="compressPunctuation"/>
  <w:hdrShapeDefaults>
    <o:shapedefaults v:ext="edit" spidmax="3074">
      <o:colormenu v:ext="edit" fillcolor="none [2894]"/>
    </o:shapedefaults>
    <o:shapelayout v:ext="edit">
      <o:idmap v:ext="edit" data="2"/>
    </o:shapelayout>
  </w:hdrShapeDefaults>
  <w:footnotePr>
    <w:footnote w:id="0"/>
    <w:footnote w:id="1"/>
  </w:footnotePr>
  <w:endnotePr>
    <w:endnote w:id="0"/>
    <w:endnote w:id="1"/>
  </w:endnotePr>
  <w:compat>
    <w:doNotExpandShiftReturn/>
    <w:useFELayout/>
  </w:compat>
  <w:rsids>
    <w:rsidRoot w:val="00860DD1"/>
    <w:rsid w:val="00372A41"/>
    <w:rsid w:val="0050581E"/>
    <w:rsid w:val="00664B26"/>
    <w:rsid w:val="00860DD1"/>
    <w:rsid w:val="00924FE1"/>
    <w:rsid w:val="00A0500F"/>
    <w:rsid w:val="00CC31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0DD1"/>
    <w:rPr>
      <w:color w:val="000000"/>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60DD1"/>
    <w:rPr>
      <w:color w:val="000080"/>
      <w:u w:val="single"/>
    </w:rPr>
  </w:style>
  <w:style w:type="character" w:customStyle="1" w:styleId="Gvdemetni">
    <w:name w:val="Gövde metni_"/>
    <w:basedOn w:val="VarsaylanParagrafYazTipi"/>
    <w:link w:val="Gvdemetni0"/>
    <w:rsid w:val="00860DD1"/>
    <w:rPr>
      <w:rFonts w:ascii="Times New Roman" w:eastAsia="Times New Roman" w:hAnsi="Times New Roman" w:cs="Times New Roman"/>
      <w:b w:val="0"/>
      <w:bCs w:val="0"/>
      <w:i w:val="0"/>
      <w:iCs w:val="0"/>
      <w:smallCaps w:val="0"/>
      <w:strike w:val="0"/>
      <w:spacing w:val="0"/>
      <w:sz w:val="21"/>
      <w:szCs w:val="21"/>
    </w:rPr>
  </w:style>
  <w:style w:type="character" w:customStyle="1" w:styleId="Gvdemetni2ptbolukbraklyor">
    <w:name w:val="Gövde metni + 2 pt boşluk bırakılıyor"/>
    <w:basedOn w:val="Gvdemetni"/>
    <w:rsid w:val="00860DD1"/>
    <w:rPr>
      <w:spacing w:val="40"/>
    </w:rPr>
  </w:style>
  <w:style w:type="character" w:customStyle="1" w:styleId="Gvdemetni1">
    <w:name w:val="Gövde metni"/>
    <w:basedOn w:val="Gvdemetni"/>
    <w:rsid w:val="00860DD1"/>
    <w:rPr>
      <w:u w:val="single"/>
    </w:rPr>
  </w:style>
  <w:style w:type="character" w:customStyle="1" w:styleId="Balk1">
    <w:name w:val="Başlık #1_"/>
    <w:basedOn w:val="VarsaylanParagrafYazTipi"/>
    <w:link w:val="Balk10"/>
    <w:rsid w:val="00860DD1"/>
    <w:rPr>
      <w:rFonts w:ascii="Times New Roman" w:eastAsia="Times New Roman" w:hAnsi="Times New Roman" w:cs="Times New Roman"/>
      <w:b w:val="0"/>
      <w:bCs w:val="0"/>
      <w:i w:val="0"/>
      <w:iCs w:val="0"/>
      <w:smallCaps w:val="0"/>
      <w:strike w:val="0"/>
      <w:spacing w:val="0"/>
      <w:sz w:val="21"/>
      <w:szCs w:val="21"/>
    </w:rPr>
  </w:style>
  <w:style w:type="character" w:customStyle="1" w:styleId="Gvdemetni2">
    <w:name w:val="Gövde metni (2)_"/>
    <w:basedOn w:val="VarsaylanParagrafYazTipi"/>
    <w:link w:val="Gvdemetni20"/>
    <w:rsid w:val="00860DD1"/>
    <w:rPr>
      <w:rFonts w:ascii="Times New Roman" w:eastAsia="Times New Roman" w:hAnsi="Times New Roman" w:cs="Times New Roman"/>
      <w:b w:val="0"/>
      <w:bCs w:val="0"/>
      <w:i w:val="0"/>
      <w:iCs w:val="0"/>
      <w:smallCaps w:val="0"/>
      <w:strike w:val="0"/>
      <w:spacing w:val="0"/>
      <w:sz w:val="13"/>
      <w:szCs w:val="13"/>
    </w:rPr>
  </w:style>
  <w:style w:type="character" w:customStyle="1" w:styleId="Gvdemetni29pt">
    <w:name w:val="Gövde metni (2) + 9 pt"/>
    <w:basedOn w:val="Gvdemetni2"/>
    <w:rsid w:val="00860DD1"/>
    <w:rPr>
      <w:spacing w:val="0"/>
      <w:sz w:val="18"/>
      <w:szCs w:val="18"/>
    </w:rPr>
  </w:style>
  <w:style w:type="character" w:customStyle="1" w:styleId="Gvdemetni285pt">
    <w:name w:val="Gövde metni (2) + 8;5 pt"/>
    <w:basedOn w:val="Gvdemetni2"/>
    <w:rsid w:val="00860DD1"/>
    <w:rPr>
      <w:spacing w:val="0"/>
      <w:sz w:val="17"/>
      <w:szCs w:val="17"/>
    </w:rPr>
  </w:style>
  <w:style w:type="character" w:customStyle="1" w:styleId="Gvdemetni25pt">
    <w:name w:val="Gövde metni (2) + 5 pt"/>
    <w:basedOn w:val="Gvdemetni2"/>
    <w:rsid w:val="00860DD1"/>
    <w:rPr>
      <w:spacing w:val="0"/>
      <w:sz w:val="10"/>
      <w:szCs w:val="10"/>
    </w:rPr>
  </w:style>
  <w:style w:type="character" w:customStyle="1" w:styleId="Gvdemetni3">
    <w:name w:val="Gövde metni (3)_"/>
    <w:basedOn w:val="VarsaylanParagrafYazTipi"/>
    <w:link w:val="Gvdemetni30"/>
    <w:rsid w:val="00860DD1"/>
    <w:rPr>
      <w:rFonts w:ascii="Times New Roman" w:eastAsia="Times New Roman" w:hAnsi="Times New Roman" w:cs="Times New Roman"/>
      <w:b w:val="0"/>
      <w:bCs w:val="0"/>
      <w:i w:val="0"/>
      <w:iCs w:val="0"/>
      <w:smallCaps w:val="0"/>
      <w:strike w:val="0"/>
      <w:spacing w:val="10"/>
      <w:sz w:val="20"/>
      <w:szCs w:val="20"/>
    </w:rPr>
  </w:style>
  <w:style w:type="character" w:customStyle="1" w:styleId="Gvdemetni3105ptKalnDeil0ptbolukbraklyor">
    <w:name w:val="Gövde metni (3) + 10;5 pt;Kalın Değil;0 pt boşluk bırakılıyor"/>
    <w:basedOn w:val="Gvdemetni3"/>
    <w:rsid w:val="00860DD1"/>
    <w:rPr>
      <w:b/>
      <w:bCs/>
      <w:spacing w:val="0"/>
      <w:sz w:val="21"/>
      <w:szCs w:val="21"/>
    </w:rPr>
  </w:style>
  <w:style w:type="character" w:customStyle="1" w:styleId="Gvdemetni10ptKaln0ptbolukbraklyor">
    <w:name w:val="Gövde metni + 10 pt;Kalın;0 pt boşluk bırakılıyor"/>
    <w:basedOn w:val="Gvdemetni"/>
    <w:rsid w:val="00860DD1"/>
    <w:rPr>
      <w:b/>
      <w:bCs/>
      <w:spacing w:val="10"/>
      <w:sz w:val="20"/>
      <w:szCs w:val="20"/>
    </w:rPr>
  </w:style>
  <w:style w:type="character" w:customStyle="1" w:styleId="Resimyazs">
    <w:name w:val="Resim yazısı_"/>
    <w:basedOn w:val="VarsaylanParagrafYazTipi"/>
    <w:link w:val="Resimyazs0"/>
    <w:rsid w:val="00860DD1"/>
    <w:rPr>
      <w:rFonts w:ascii="Times New Roman" w:eastAsia="Times New Roman" w:hAnsi="Times New Roman" w:cs="Times New Roman"/>
      <w:b w:val="0"/>
      <w:bCs w:val="0"/>
      <w:i w:val="0"/>
      <w:iCs w:val="0"/>
      <w:smallCaps w:val="0"/>
      <w:strike w:val="0"/>
      <w:spacing w:val="0"/>
      <w:sz w:val="21"/>
      <w:szCs w:val="21"/>
    </w:rPr>
  </w:style>
  <w:style w:type="character" w:customStyle="1" w:styleId="Resimyazs2ptbolukbraklyor">
    <w:name w:val="Resim yazısı + 2 pt boşluk bırakılıyor"/>
    <w:basedOn w:val="Resimyazs"/>
    <w:rsid w:val="00860DD1"/>
    <w:rPr>
      <w:spacing w:val="50"/>
    </w:rPr>
  </w:style>
  <w:style w:type="character" w:customStyle="1" w:styleId="Resimyazs2">
    <w:name w:val="Resim yazısı (2)_"/>
    <w:basedOn w:val="VarsaylanParagrafYazTipi"/>
    <w:link w:val="Resimyazs20"/>
    <w:rsid w:val="00860DD1"/>
    <w:rPr>
      <w:rFonts w:ascii="Times New Roman" w:eastAsia="Times New Roman" w:hAnsi="Times New Roman" w:cs="Times New Roman"/>
      <w:b w:val="0"/>
      <w:bCs w:val="0"/>
      <w:i w:val="0"/>
      <w:iCs w:val="0"/>
      <w:smallCaps w:val="0"/>
      <w:strike w:val="0"/>
      <w:spacing w:val="0"/>
      <w:sz w:val="23"/>
      <w:szCs w:val="23"/>
    </w:rPr>
  </w:style>
  <w:style w:type="character" w:customStyle="1" w:styleId="Gvdemetni385ptKalnDeil0ptbolukbraklyor">
    <w:name w:val="Gövde metni (3) + 8;5 pt;Kalın Değil;0 pt boşluk bırakılıyor"/>
    <w:basedOn w:val="Gvdemetni3"/>
    <w:rsid w:val="00860DD1"/>
    <w:rPr>
      <w:b/>
      <w:bCs/>
      <w:spacing w:val="0"/>
      <w:sz w:val="17"/>
      <w:szCs w:val="17"/>
    </w:rPr>
  </w:style>
  <w:style w:type="character" w:customStyle="1" w:styleId="Gvdemetni29pt0">
    <w:name w:val="Gövde metni (2) + 9 pt"/>
    <w:basedOn w:val="Gvdemetni2"/>
    <w:rsid w:val="00860DD1"/>
    <w:rPr>
      <w:spacing w:val="0"/>
      <w:sz w:val="18"/>
      <w:szCs w:val="18"/>
    </w:rPr>
  </w:style>
  <w:style w:type="character" w:customStyle="1" w:styleId="Gvdemetni285pt0">
    <w:name w:val="Gövde metni (2) + 8;5 pt"/>
    <w:basedOn w:val="Gvdemetni2"/>
    <w:rsid w:val="00860DD1"/>
    <w:rPr>
      <w:spacing w:val="0"/>
      <w:sz w:val="17"/>
      <w:szCs w:val="17"/>
    </w:rPr>
  </w:style>
  <w:style w:type="paragraph" w:customStyle="1" w:styleId="Gvdemetni0">
    <w:name w:val="Gövde metni"/>
    <w:basedOn w:val="Normal"/>
    <w:link w:val="Gvdemetni"/>
    <w:rsid w:val="00860DD1"/>
    <w:pPr>
      <w:shd w:val="clear" w:color="auto" w:fill="FFFFFF"/>
      <w:spacing w:after="300" w:line="312" w:lineRule="exact"/>
      <w:jc w:val="center"/>
    </w:pPr>
    <w:rPr>
      <w:rFonts w:ascii="Times New Roman" w:eastAsia="Times New Roman" w:hAnsi="Times New Roman" w:cs="Times New Roman"/>
      <w:sz w:val="21"/>
      <w:szCs w:val="21"/>
    </w:rPr>
  </w:style>
  <w:style w:type="paragraph" w:customStyle="1" w:styleId="Balk10">
    <w:name w:val="Başlık #1"/>
    <w:basedOn w:val="Normal"/>
    <w:link w:val="Balk1"/>
    <w:rsid w:val="00860DD1"/>
    <w:pPr>
      <w:shd w:val="clear" w:color="auto" w:fill="FFFFFF"/>
      <w:spacing w:before="300" w:after="300" w:line="0" w:lineRule="atLeast"/>
      <w:outlineLvl w:val="0"/>
    </w:pPr>
    <w:rPr>
      <w:rFonts w:ascii="Times New Roman" w:eastAsia="Times New Roman" w:hAnsi="Times New Roman" w:cs="Times New Roman"/>
      <w:sz w:val="21"/>
      <w:szCs w:val="21"/>
    </w:rPr>
  </w:style>
  <w:style w:type="paragraph" w:customStyle="1" w:styleId="Gvdemetni20">
    <w:name w:val="Gövde metni (2)"/>
    <w:basedOn w:val="Normal"/>
    <w:link w:val="Gvdemetni2"/>
    <w:rsid w:val="00860DD1"/>
    <w:pPr>
      <w:shd w:val="clear" w:color="auto" w:fill="FFFFFF"/>
      <w:spacing w:before="1020" w:line="0" w:lineRule="atLeast"/>
    </w:pPr>
    <w:rPr>
      <w:rFonts w:ascii="Times New Roman" w:eastAsia="Times New Roman" w:hAnsi="Times New Roman" w:cs="Times New Roman"/>
      <w:sz w:val="13"/>
      <w:szCs w:val="13"/>
    </w:rPr>
  </w:style>
  <w:style w:type="paragraph" w:customStyle="1" w:styleId="Gvdemetni30">
    <w:name w:val="Gövde metni (3)"/>
    <w:basedOn w:val="Normal"/>
    <w:link w:val="Gvdemetni3"/>
    <w:rsid w:val="00860DD1"/>
    <w:pPr>
      <w:shd w:val="clear" w:color="auto" w:fill="FFFFFF"/>
      <w:spacing w:after="240" w:line="317" w:lineRule="exact"/>
      <w:jc w:val="center"/>
    </w:pPr>
    <w:rPr>
      <w:rFonts w:ascii="Times New Roman" w:eastAsia="Times New Roman" w:hAnsi="Times New Roman" w:cs="Times New Roman"/>
      <w:b/>
      <w:bCs/>
      <w:spacing w:val="10"/>
      <w:sz w:val="20"/>
      <w:szCs w:val="20"/>
    </w:rPr>
  </w:style>
  <w:style w:type="paragraph" w:customStyle="1" w:styleId="Resimyazs0">
    <w:name w:val="Resim yazısı"/>
    <w:basedOn w:val="Normal"/>
    <w:link w:val="Resimyazs"/>
    <w:rsid w:val="00860DD1"/>
    <w:pPr>
      <w:shd w:val="clear" w:color="auto" w:fill="FFFFFF"/>
      <w:spacing w:line="312" w:lineRule="exact"/>
      <w:jc w:val="both"/>
    </w:pPr>
    <w:rPr>
      <w:rFonts w:ascii="Times New Roman" w:eastAsia="Times New Roman" w:hAnsi="Times New Roman" w:cs="Times New Roman"/>
      <w:sz w:val="21"/>
      <w:szCs w:val="21"/>
    </w:rPr>
  </w:style>
  <w:style w:type="paragraph" w:customStyle="1" w:styleId="Resimyazs20">
    <w:name w:val="Resim yazısı (2)"/>
    <w:basedOn w:val="Normal"/>
    <w:link w:val="Resimyazs2"/>
    <w:rsid w:val="00860DD1"/>
    <w:pPr>
      <w:shd w:val="clear" w:color="auto" w:fill="FFFFFF"/>
      <w:spacing w:line="0" w:lineRule="atLeast"/>
    </w:pPr>
    <w:rPr>
      <w:rFonts w:ascii="Times New Roman" w:eastAsia="Times New Roman" w:hAnsi="Times New Roman" w:cs="Times New Roman"/>
      <w:i/>
      <w:iCs/>
      <w:sz w:val="23"/>
      <w:szCs w:val="23"/>
    </w:rPr>
  </w:style>
  <w:style w:type="paragraph" w:styleId="stbilgi">
    <w:name w:val="header"/>
    <w:basedOn w:val="Normal"/>
    <w:link w:val="stbilgiChar"/>
    <w:uiPriority w:val="99"/>
    <w:semiHidden/>
    <w:unhideWhenUsed/>
    <w:rsid w:val="00372A41"/>
    <w:pPr>
      <w:tabs>
        <w:tab w:val="center" w:pos="4703"/>
        <w:tab w:val="right" w:pos="9406"/>
      </w:tabs>
    </w:pPr>
  </w:style>
  <w:style w:type="character" w:customStyle="1" w:styleId="stbilgiChar">
    <w:name w:val="Üstbilgi Char"/>
    <w:basedOn w:val="VarsaylanParagrafYazTipi"/>
    <w:link w:val="stbilgi"/>
    <w:uiPriority w:val="99"/>
    <w:semiHidden/>
    <w:rsid w:val="00372A41"/>
    <w:rPr>
      <w:color w:val="000000"/>
    </w:rPr>
  </w:style>
  <w:style w:type="paragraph" w:styleId="Altbilgi">
    <w:name w:val="footer"/>
    <w:basedOn w:val="Normal"/>
    <w:link w:val="AltbilgiChar"/>
    <w:uiPriority w:val="99"/>
    <w:semiHidden/>
    <w:unhideWhenUsed/>
    <w:rsid w:val="00372A41"/>
    <w:pPr>
      <w:tabs>
        <w:tab w:val="center" w:pos="4703"/>
        <w:tab w:val="right" w:pos="9406"/>
      </w:tabs>
    </w:pPr>
  </w:style>
  <w:style w:type="character" w:customStyle="1" w:styleId="AltbilgiChar">
    <w:name w:val="Altbilgi Char"/>
    <w:basedOn w:val="VarsaylanParagrafYazTipi"/>
    <w:link w:val="Altbilgi"/>
    <w:uiPriority w:val="99"/>
    <w:semiHidden/>
    <w:rsid w:val="00372A4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4469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5243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tk38553</dc:creator>
  <cp:lastModifiedBy>tk38553</cp:lastModifiedBy>
  <cp:revision>2</cp:revision>
  <dcterms:created xsi:type="dcterms:W3CDTF">2020-12-01T06:53:00Z</dcterms:created>
  <dcterms:modified xsi:type="dcterms:W3CDTF">2020-12-01T06:53:00Z</dcterms:modified>
</cp:coreProperties>
</file>