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0C1B20" w:rsidRDefault="000C1B20" w:rsidP="00DC26A2">
      <w:pPr>
        <w:pStyle w:val="Gvdemetni0"/>
        <w:shd w:val="clear" w:color="auto" w:fill="auto"/>
        <w:spacing w:after="0" w:line="240" w:lineRule="auto"/>
        <w:ind w:left="-567"/>
        <w:jc w:val="both"/>
        <w:rPr>
          <w:rStyle w:val="Gvdemetni11pt"/>
          <w:rFonts w:asciiTheme="majorHAnsi" w:hAnsiTheme="majorHAnsi"/>
          <w:sz w:val="28"/>
          <w:szCs w:val="28"/>
        </w:rPr>
      </w:pPr>
    </w:p>
    <w:p w:rsidR="000C1B20" w:rsidRDefault="000C1B20" w:rsidP="00DC26A2">
      <w:pPr>
        <w:pStyle w:val="Gvdemetni0"/>
        <w:shd w:val="clear" w:color="auto" w:fill="auto"/>
        <w:spacing w:after="0" w:line="240" w:lineRule="auto"/>
        <w:ind w:left="-567"/>
        <w:jc w:val="both"/>
        <w:rPr>
          <w:rStyle w:val="Gvdemetni11pt"/>
          <w:rFonts w:asciiTheme="majorHAnsi" w:hAnsiTheme="majorHAnsi"/>
          <w:sz w:val="28"/>
          <w:szCs w:val="28"/>
        </w:rPr>
      </w:pPr>
    </w:p>
    <w:p w:rsidR="000C1B20" w:rsidRDefault="00D70D11" w:rsidP="00DC26A2">
      <w:pPr>
        <w:pStyle w:val="Gvdemetni0"/>
        <w:shd w:val="clear" w:color="auto" w:fill="auto"/>
        <w:spacing w:after="0" w:line="240" w:lineRule="auto"/>
        <w:ind w:left="-567"/>
        <w:jc w:val="both"/>
        <w:rPr>
          <w:rStyle w:val="Gvdemetni11pt"/>
          <w:rFonts w:asciiTheme="majorHAnsi" w:hAnsiTheme="majorHAnsi"/>
          <w:sz w:val="28"/>
          <w:szCs w:val="28"/>
        </w:rPr>
      </w:pPr>
      <w:r>
        <w:rPr>
          <w:rStyle w:val="Gvdemetni11pt"/>
          <w:rFonts w:asciiTheme="majorHAnsi" w:hAnsiTheme="majorHAnsi"/>
          <w:sz w:val="28"/>
          <w:szCs w:val="28"/>
        </w:rPr>
        <w:t>DOSYA NO:641-04-12-3107</w:t>
      </w:r>
      <w:r>
        <w:rPr>
          <w:rStyle w:val="Gvdemetni11pt"/>
          <w:rFonts w:asciiTheme="majorHAnsi" w:hAnsiTheme="majorHAnsi"/>
          <w:sz w:val="28"/>
          <w:szCs w:val="28"/>
        </w:rPr>
        <w:tab/>
      </w:r>
      <w:r>
        <w:rPr>
          <w:rStyle w:val="Gvdemetni11pt"/>
          <w:rFonts w:asciiTheme="majorHAnsi" w:hAnsiTheme="majorHAnsi"/>
          <w:sz w:val="28"/>
          <w:szCs w:val="28"/>
        </w:rPr>
        <w:tab/>
      </w:r>
      <w:r>
        <w:rPr>
          <w:rStyle w:val="Gvdemetni11pt"/>
          <w:rFonts w:asciiTheme="majorHAnsi" w:hAnsiTheme="majorHAnsi"/>
          <w:sz w:val="28"/>
          <w:szCs w:val="28"/>
        </w:rPr>
        <w:tab/>
      </w:r>
      <w:r>
        <w:rPr>
          <w:rStyle w:val="Gvdemetni11pt"/>
          <w:rFonts w:asciiTheme="majorHAnsi" w:hAnsiTheme="majorHAnsi"/>
          <w:sz w:val="28"/>
          <w:szCs w:val="28"/>
        </w:rPr>
        <w:tab/>
      </w:r>
      <w:r>
        <w:rPr>
          <w:rStyle w:val="Gvdemetni11pt"/>
          <w:rFonts w:asciiTheme="majorHAnsi" w:hAnsiTheme="majorHAnsi"/>
          <w:sz w:val="28"/>
          <w:szCs w:val="28"/>
        </w:rPr>
        <w:tab/>
      </w:r>
      <w:r>
        <w:rPr>
          <w:rStyle w:val="Gvdemetni11pt"/>
          <w:rFonts w:asciiTheme="majorHAnsi" w:hAnsiTheme="majorHAnsi"/>
          <w:sz w:val="28"/>
          <w:szCs w:val="28"/>
        </w:rPr>
        <w:tab/>
      </w:r>
      <w:r>
        <w:rPr>
          <w:rStyle w:val="Gvdemetni11pt"/>
          <w:rFonts w:asciiTheme="majorHAnsi" w:hAnsiTheme="majorHAnsi"/>
          <w:sz w:val="28"/>
          <w:szCs w:val="28"/>
        </w:rPr>
        <w:tab/>
        <w:t>KARAR NO:55</w:t>
      </w:r>
    </w:p>
    <w:p w:rsidR="000C1B20" w:rsidRDefault="000C1B20" w:rsidP="00DC26A2">
      <w:pPr>
        <w:pStyle w:val="Gvdemetni0"/>
        <w:shd w:val="clear" w:color="auto" w:fill="auto"/>
        <w:spacing w:after="0" w:line="240" w:lineRule="auto"/>
        <w:ind w:left="-567"/>
        <w:jc w:val="both"/>
        <w:rPr>
          <w:rStyle w:val="Gvdemetni11pt"/>
          <w:rFonts w:asciiTheme="majorHAnsi" w:hAnsiTheme="majorHAnsi"/>
          <w:sz w:val="28"/>
          <w:szCs w:val="28"/>
        </w:rPr>
      </w:pPr>
    </w:p>
    <w:p w:rsidR="000C1B20" w:rsidRDefault="00E61F10" w:rsidP="00DC26A2">
      <w:pPr>
        <w:pStyle w:val="Gvdemetni0"/>
        <w:shd w:val="clear" w:color="auto" w:fill="auto"/>
        <w:spacing w:after="0" w:line="240" w:lineRule="auto"/>
        <w:ind w:left="-567"/>
        <w:jc w:val="both"/>
        <w:rPr>
          <w:rStyle w:val="Gvdemetni11pt"/>
          <w:rFonts w:asciiTheme="majorHAnsi" w:hAnsiTheme="majorHAnsi"/>
          <w:sz w:val="28"/>
          <w:szCs w:val="28"/>
        </w:rPr>
      </w:pPr>
      <w:r w:rsidRPr="000C1B20">
        <w:rPr>
          <w:rStyle w:val="Gvdemetni11pt"/>
          <w:rFonts w:asciiTheme="majorHAnsi" w:hAnsiTheme="majorHAnsi"/>
          <w:sz w:val="28"/>
          <w:szCs w:val="28"/>
        </w:rPr>
        <w:t>T.C.</w:t>
      </w:r>
    </w:p>
    <w:p w:rsidR="000C1B20" w:rsidRDefault="00E61F10" w:rsidP="00DC26A2">
      <w:pPr>
        <w:pStyle w:val="Gvdemetni0"/>
        <w:shd w:val="clear" w:color="auto" w:fill="auto"/>
        <w:spacing w:after="0" w:line="240" w:lineRule="auto"/>
        <w:ind w:left="-567"/>
        <w:jc w:val="both"/>
        <w:rPr>
          <w:rFonts w:asciiTheme="majorHAnsi" w:hAnsiTheme="majorHAnsi"/>
          <w:sz w:val="28"/>
          <w:szCs w:val="28"/>
        </w:rPr>
      </w:pPr>
      <w:r w:rsidRPr="000C1B20">
        <w:rPr>
          <w:rStyle w:val="Gvdemetni11pt"/>
          <w:rFonts w:asciiTheme="majorHAnsi" w:hAnsiTheme="majorHAnsi"/>
          <w:sz w:val="28"/>
          <w:szCs w:val="28"/>
        </w:rPr>
        <w:t xml:space="preserve"> </w:t>
      </w:r>
      <w:r w:rsidRPr="000C1B20">
        <w:rPr>
          <w:rFonts w:asciiTheme="majorHAnsi" w:hAnsiTheme="majorHAnsi"/>
          <w:sz w:val="28"/>
          <w:szCs w:val="28"/>
        </w:rPr>
        <w:t xml:space="preserve">MANİSA </w:t>
      </w:r>
    </w:p>
    <w:p w:rsidR="0015168E" w:rsidRPr="000C1B20" w:rsidRDefault="00E61F10" w:rsidP="00DC26A2">
      <w:pPr>
        <w:pStyle w:val="Gvdemetni0"/>
        <w:shd w:val="clear" w:color="auto" w:fill="auto"/>
        <w:spacing w:after="0" w:line="240" w:lineRule="auto"/>
        <w:ind w:left="-567"/>
        <w:jc w:val="both"/>
        <w:rPr>
          <w:rFonts w:asciiTheme="majorHAnsi" w:hAnsiTheme="majorHAnsi"/>
          <w:sz w:val="28"/>
          <w:szCs w:val="28"/>
        </w:rPr>
      </w:pPr>
      <w:r w:rsidRPr="000C1B20">
        <w:rPr>
          <w:rFonts w:asciiTheme="majorHAnsi" w:hAnsiTheme="majorHAnsi"/>
          <w:sz w:val="28"/>
          <w:szCs w:val="28"/>
        </w:rPr>
        <w:t>1. İDARE MAHKEMESİ</w:t>
      </w:r>
    </w:p>
    <w:p w:rsidR="000C1B20" w:rsidRDefault="00E61F10" w:rsidP="00DC26A2">
      <w:pPr>
        <w:pStyle w:val="Gvdemetni0"/>
        <w:shd w:val="clear" w:color="auto" w:fill="auto"/>
        <w:spacing w:after="0" w:line="240" w:lineRule="auto"/>
        <w:ind w:left="-567"/>
        <w:jc w:val="both"/>
        <w:rPr>
          <w:rFonts w:asciiTheme="majorHAnsi" w:hAnsiTheme="majorHAnsi"/>
          <w:sz w:val="28"/>
          <w:szCs w:val="28"/>
        </w:rPr>
      </w:pPr>
      <w:r w:rsidRPr="000C1B20">
        <w:rPr>
          <w:rFonts w:asciiTheme="majorHAnsi" w:hAnsiTheme="majorHAnsi"/>
          <w:sz w:val="28"/>
          <w:szCs w:val="28"/>
        </w:rPr>
        <w:t xml:space="preserve">ESAS </w:t>
      </w:r>
      <w:r w:rsidR="00D70D11" w:rsidRPr="000C1B20">
        <w:rPr>
          <w:rFonts w:asciiTheme="majorHAnsi" w:hAnsiTheme="majorHAnsi"/>
          <w:sz w:val="28"/>
          <w:szCs w:val="28"/>
        </w:rPr>
        <w:t>NO: 2012</w:t>
      </w:r>
      <w:r w:rsidRPr="000C1B20">
        <w:rPr>
          <w:rFonts w:asciiTheme="majorHAnsi" w:hAnsiTheme="majorHAnsi"/>
          <w:sz w:val="28"/>
          <w:szCs w:val="28"/>
        </w:rPr>
        <w:t>/1446</w:t>
      </w:r>
    </w:p>
    <w:p w:rsidR="0015168E" w:rsidRPr="000C1B20" w:rsidRDefault="00E61F10" w:rsidP="00DC26A2">
      <w:pPr>
        <w:pStyle w:val="Gvdemetni0"/>
        <w:shd w:val="clear" w:color="auto" w:fill="auto"/>
        <w:spacing w:after="0" w:line="240" w:lineRule="auto"/>
        <w:ind w:left="-567"/>
        <w:jc w:val="both"/>
        <w:rPr>
          <w:rFonts w:asciiTheme="majorHAnsi" w:hAnsiTheme="majorHAnsi"/>
          <w:sz w:val="28"/>
          <w:szCs w:val="28"/>
        </w:rPr>
      </w:pPr>
      <w:r w:rsidRPr="000C1B20">
        <w:rPr>
          <w:rFonts w:asciiTheme="majorHAnsi" w:hAnsiTheme="majorHAnsi"/>
          <w:sz w:val="28"/>
          <w:szCs w:val="28"/>
        </w:rPr>
        <w:t xml:space="preserve"> KARAR </w:t>
      </w:r>
      <w:r w:rsidR="00D70D11" w:rsidRPr="000C1B20">
        <w:rPr>
          <w:rFonts w:asciiTheme="majorHAnsi" w:hAnsiTheme="majorHAnsi"/>
          <w:sz w:val="28"/>
          <w:szCs w:val="28"/>
        </w:rPr>
        <w:t>NO: 2014</w:t>
      </w:r>
      <w:r w:rsidRPr="000C1B20">
        <w:rPr>
          <w:rFonts w:asciiTheme="majorHAnsi" w:hAnsiTheme="majorHAnsi"/>
          <w:sz w:val="28"/>
          <w:szCs w:val="28"/>
        </w:rPr>
        <w:t>/11</w:t>
      </w:r>
    </w:p>
    <w:p w:rsidR="0015168E" w:rsidRPr="000C1B20" w:rsidRDefault="00D70D11" w:rsidP="00DC26A2">
      <w:pPr>
        <w:pStyle w:val="Gvdemetni0"/>
        <w:shd w:val="clear" w:color="auto" w:fill="auto"/>
        <w:tabs>
          <w:tab w:val="left" w:leader="underscore" w:pos="2714"/>
        </w:tabs>
        <w:spacing w:after="0" w:line="240" w:lineRule="auto"/>
        <w:ind w:left="-567"/>
        <w:jc w:val="both"/>
        <w:rPr>
          <w:rFonts w:asciiTheme="majorHAnsi" w:hAnsiTheme="majorHAnsi"/>
          <w:sz w:val="28"/>
          <w:szCs w:val="28"/>
        </w:rPr>
      </w:pPr>
      <w:r w:rsidRPr="000C1B20">
        <w:rPr>
          <w:rStyle w:val="Gvdemetni1"/>
          <w:rFonts w:asciiTheme="majorHAnsi" w:hAnsiTheme="majorHAnsi"/>
          <w:sz w:val="28"/>
          <w:szCs w:val="28"/>
        </w:rPr>
        <w:t>DAVACI</w:t>
      </w:r>
      <w:r>
        <w:rPr>
          <w:rFonts w:asciiTheme="majorHAnsi" w:hAnsiTheme="majorHAnsi"/>
          <w:sz w:val="28"/>
          <w:szCs w:val="28"/>
        </w:rPr>
        <w:t>:</w:t>
      </w:r>
      <w:r w:rsidR="00E61F10" w:rsidRPr="000C1B20">
        <w:rPr>
          <w:rFonts w:asciiTheme="majorHAnsi" w:hAnsiTheme="majorHAnsi"/>
          <w:sz w:val="28"/>
          <w:szCs w:val="28"/>
        </w:rPr>
        <w:t xml:space="preserve"> </w:t>
      </w:r>
    </w:p>
    <w:p w:rsidR="0015168E" w:rsidRPr="000C1B20" w:rsidRDefault="00D70D11" w:rsidP="00DC26A2">
      <w:pPr>
        <w:pStyle w:val="Gvdemetni0"/>
        <w:shd w:val="clear" w:color="auto" w:fill="auto"/>
        <w:tabs>
          <w:tab w:val="left" w:leader="underscore" w:pos="2704"/>
        </w:tabs>
        <w:spacing w:after="0" w:line="240" w:lineRule="auto"/>
        <w:ind w:left="-567"/>
        <w:jc w:val="both"/>
        <w:rPr>
          <w:rFonts w:asciiTheme="majorHAnsi" w:hAnsiTheme="majorHAnsi"/>
          <w:sz w:val="28"/>
          <w:szCs w:val="28"/>
        </w:rPr>
      </w:pPr>
      <w:r w:rsidRPr="000C1B20">
        <w:rPr>
          <w:rStyle w:val="Gvdemetni1"/>
          <w:rFonts w:asciiTheme="majorHAnsi" w:hAnsiTheme="majorHAnsi"/>
          <w:sz w:val="28"/>
          <w:szCs w:val="28"/>
        </w:rPr>
        <w:t>VEKİLİ</w:t>
      </w:r>
      <w:r>
        <w:rPr>
          <w:rFonts w:asciiTheme="majorHAnsi" w:hAnsiTheme="majorHAnsi"/>
          <w:sz w:val="28"/>
          <w:szCs w:val="28"/>
        </w:rPr>
        <w:t>:</w:t>
      </w:r>
      <w:r w:rsidR="00E61F10" w:rsidRPr="000C1B20">
        <w:rPr>
          <w:rFonts w:asciiTheme="majorHAnsi" w:hAnsiTheme="majorHAnsi"/>
          <w:sz w:val="28"/>
          <w:szCs w:val="28"/>
        </w:rPr>
        <w:t xml:space="preserve"> </w:t>
      </w:r>
    </w:p>
    <w:p w:rsidR="0015168E" w:rsidRPr="000C1B20" w:rsidRDefault="00D70D11" w:rsidP="00DC26A2">
      <w:pPr>
        <w:pStyle w:val="Gvdemetni0"/>
        <w:shd w:val="clear" w:color="auto" w:fill="auto"/>
        <w:tabs>
          <w:tab w:val="left" w:leader="underscore" w:pos="2699"/>
        </w:tabs>
        <w:spacing w:after="0" w:line="240" w:lineRule="auto"/>
        <w:ind w:left="-567"/>
        <w:jc w:val="both"/>
        <w:rPr>
          <w:rFonts w:asciiTheme="majorHAnsi" w:hAnsiTheme="majorHAnsi"/>
          <w:sz w:val="28"/>
          <w:szCs w:val="28"/>
        </w:rPr>
      </w:pPr>
      <w:r w:rsidRPr="000C1B20">
        <w:rPr>
          <w:rStyle w:val="Gvdemetni1"/>
          <w:rFonts w:asciiTheme="majorHAnsi" w:hAnsiTheme="majorHAnsi"/>
          <w:sz w:val="28"/>
          <w:szCs w:val="28"/>
        </w:rPr>
        <w:t>DAVALI</w:t>
      </w:r>
      <w:r>
        <w:rPr>
          <w:rFonts w:asciiTheme="majorHAnsi" w:hAnsiTheme="majorHAnsi"/>
          <w:sz w:val="28"/>
          <w:szCs w:val="28"/>
        </w:rPr>
        <w:t>: TAPU</w:t>
      </w:r>
      <w:r w:rsidR="00E61F10" w:rsidRPr="000C1B20">
        <w:rPr>
          <w:rFonts w:asciiTheme="majorHAnsi" w:hAnsiTheme="majorHAnsi"/>
          <w:sz w:val="28"/>
          <w:szCs w:val="28"/>
        </w:rPr>
        <w:t xml:space="preserve"> VE KADASTRO GENEL ÜDÜRLÜĞÜ</w:t>
      </w:r>
    </w:p>
    <w:p w:rsidR="0015168E" w:rsidRPr="000C1B20" w:rsidRDefault="00E61F10" w:rsidP="00DC26A2">
      <w:pPr>
        <w:pStyle w:val="Gvdemetni0"/>
        <w:shd w:val="clear" w:color="auto" w:fill="auto"/>
        <w:tabs>
          <w:tab w:val="left" w:leader="underscore" w:pos="2694"/>
        </w:tabs>
        <w:spacing w:after="0" w:line="240" w:lineRule="auto"/>
        <w:ind w:left="-567"/>
        <w:jc w:val="both"/>
        <w:rPr>
          <w:rFonts w:asciiTheme="majorHAnsi" w:hAnsiTheme="majorHAnsi"/>
          <w:sz w:val="28"/>
          <w:szCs w:val="28"/>
        </w:rPr>
      </w:pPr>
      <w:r w:rsidRPr="000C1B20">
        <w:rPr>
          <w:rStyle w:val="Gvdemetni1"/>
          <w:rFonts w:asciiTheme="majorHAnsi" w:hAnsiTheme="majorHAnsi"/>
          <w:sz w:val="28"/>
          <w:szCs w:val="28"/>
        </w:rPr>
        <w:t xml:space="preserve">DAVANIN </w:t>
      </w:r>
      <w:r w:rsidR="00D70D11" w:rsidRPr="000C1B20">
        <w:rPr>
          <w:rStyle w:val="Gvdemetni1"/>
          <w:rFonts w:asciiTheme="majorHAnsi" w:hAnsiTheme="majorHAnsi"/>
          <w:sz w:val="28"/>
          <w:szCs w:val="28"/>
        </w:rPr>
        <w:t>ÖZETİ</w:t>
      </w:r>
      <w:r w:rsidR="00D70D11">
        <w:rPr>
          <w:rFonts w:asciiTheme="majorHAnsi" w:hAnsiTheme="majorHAnsi"/>
          <w:sz w:val="28"/>
          <w:szCs w:val="28"/>
        </w:rPr>
        <w:t>: Manisa</w:t>
      </w:r>
      <w:r w:rsidRPr="000C1B20">
        <w:rPr>
          <w:rFonts w:asciiTheme="majorHAnsi" w:hAnsiTheme="majorHAnsi"/>
          <w:sz w:val="28"/>
          <w:szCs w:val="28"/>
        </w:rPr>
        <w:t xml:space="preserve"> Tapu Müdürlüğü'nde tapu sicil müdür ya</w:t>
      </w:r>
      <w:r w:rsidR="00D70D11">
        <w:rPr>
          <w:rFonts w:asciiTheme="majorHAnsi" w:hAnsiTheme="majorHAnsi"/>
          <w:sz w:val="28"/>
          <w:szCs w:val="28"/>
        </w:rPr>
        <w:t>rdımcısı olarak</w:t>
      </w:r>
    </w:p>
    <w:p w:rsidR="0015168E" w:rsidRDefault="00D70D11" w:rsidP="00DC26A2">
      <w:pPr>
        <w:pStyle w:val="Gvdemetni0"/>
        <w:shd w:val="clear" w:color="auto" w:fill="auto"/>
        <w:spacing w:after="0" w:line="240" w:lineRule="auto"/>
        <w:ind w:left="-567"/>
        <w:jc w:val="both"/>
        <w:rPr>
          <w:rFonts w:asciiTheme="majorHAnsi" w:hAnsiTheme="majorHAnsi"/>
          <w:sz w:val="28"/>
          <w:szCs w:val="28"/>
        </w:rPr>
      </w:pPr>
      <w:r w:rsidRPr="000C1B20">
        <w:rPr>
          <w:rFonts w:asciiTheme="majorHAnsi" w:hAnsiTheme="majorHAnsi"/>
          <w:sz w:val="28"/>
          <w:szCs w:val="28"/>
        </w:rPr>
        <w:t>Görev</w:t>
      </w:r>
      <w:r w:rsidR="00E61F10" w:rsidRPr="000C1B20">
        <w:rPr>
          <w:rFonts w:asciiTheme="majorHAnsi" w:hAnsiTheme="majorHAnsi"/>
          <w:sz w:val="28"/>
          <w:szCs w:val="28"/>
        </w:rPr>
        <w:t xml:space="preserve"> yapan davacı tarafından, davalı idarenin kendisine karşı sürekli, düzenli ve sistematik olarak mobbing uyguladığı, bu suretle hakkında atama, disiplin cezası, geçici görevlendirme, düşük sicil olmak üzere pek çok idari işlem tesis edildiği, bu idari işlemlere karşı açmış olduğu idari davaların lehine sonuçlandığı ifade edilerek duyduğu manevi acı ve elemin karşılığı olarak 55.000 TL manevi tazminatın dava tarihinden itibaren işleyecek yasal faiziyle birlikte davalı idarece tarafına ödenmesine karar verilmesi istenilmektedir.</w:t>
      </w:r>
    </w:p>
    <w:p w:rsidR="00D70D11" w:rsidRPr="000C1B20" w:rsidRDefault="00D70D11" w:rsidP="00DC26A2">
      <w:pPr>
        <w:pStyle w:val="Gvdemetni0"/>
        <w:shd w:val="clear" w:color="auto" w:fill="auto"/>
        <w:spacing w:after="0" w:line="240" w:lineRule="auto"/>
        <w:ind w:left="-567"/>
        <w:jc w:val="both"/>
        <w:rPr>
          <w:rFonts w:asciiTheme="majorHAnsi" w:hAnsiTheme="majorHAnsi"/>
          <w:sz w:val="28"/>
          <w:szCs w:val="28"/>
        </w:rPr>
      </w:pPr>
    </w:p>
    <w:p w:rsidR="0015168E" w:rsidRDefault="00E61F10" w:rsidP="00DC26A2">
      <w:pPr>
        <w:pStyle w:val="Gvdemetni0"/>
        <w:shd w:val="clear" w:color="auto" w:fill="auto"/>
        <w:spacing w:after="0" w:line="240" w:lineRule="auto"/>
        <w:ind w:left="-567"/>
        <w:jc w:val="both"/>
        <w:rPr>
          <w:rFonts w:asciiTheme="majorHAnsi" w:hAnsiTheme="majorHAnsi"/>
          <w:sz w:val="28"/>
          <w:szCs w:val="28"/>
        </w:rPr>
      </w:pPr>
      <w:r w:rsidRPr="000C1B20">
        <w:rPr>
          <w:rStyle w:val="Gvdemetni1"/>
          <w:rFonts w:asciiTheme="majorHAnsi" w:hAnsiTheme="majorHAnsi"/>
          <w:sz w:val="28"/>
          <w:szCs w:val="28"/>
        </w:rPr>
        <w:t>SAVUNMANIN</w:t>
      </w:r>
      <w:r w:rsidRPr="000C1B20">
        <w:rPr>
          <w:rStyle w:val="GvdemetniKaln"/>
          <w:rFonts w:asciiTheme="majorHAnsi" w:hAnsiTheme="majorHAnsi"/>
          <w:b w:val="0"/>
          <w:sz w:val="28"/>
          <w:szCs w:val="28"/>
        </w:rPr>
        <w:t xml:space="preserve"> </w:t>
      </w:r>
      <w:r w:rsidR="00D70D11" w:rsidRPr="000C1B20">
        <w:rPr>
          <w:rStyle w:val="GvdemetniKaln"/>
          <w:rFonts w:asciiTheme="majorHAnsi" w:hAnsiTheme="majorHAnsi"/>
          <w:b w:val="0"/>
          <w:sz w:val="28"/>
          <w:szCs w:val="28"/>
        </w:rPr>
        <w:t>OZETI</w:t>
      </w:r>
      <w:r w:rsidR="00D70D11" w:rsidRPr="000C1B20">
        <w:rPr>
          <w:rFonts w:asciiTheme="majorHAnsi" w:hAnsiTheme="majorHAnsi"/>
          <w:sz w:val="28"/>
          <w:szCs w:val="28"/>
        </w:rPr>
        <w:t>: Davacıya</w:t>
      </w:r>
      <w:r w:rsidRPr="000C1B20">
        <w:rPr>
          <w:rFonts w:asciiTheme="majorHAnsi" w:hAnsiTheme="majorHAnsi"/>
          <w:sz w:val="28"/>
          <w:szCs w:val="28"/>
        </w:rPr>
        <w:t xml:space="preserve"> yönelik herhangi bir mobbing uygulamasının söz konusu olmadığı, hakkında açılan disiplin soruşturmalarının mevzuata aykırı eylemleri neticesinde açıldığı ve verilen cezalara karşı açmış olduğu davaların bir kısmının da idare lehine sonuçlandığı, davacının ceza mahkemelerinde de biten ve süren yargılamalarının mevcut olduğu, idari işlem tesisinin mobbing olarak </w:t>
      </w:r>
      <w:r w:rsidR="00D70D11">
        <w:rPr>
          <w:rFonts w:asciiTheme="majorHAnsi" w:hAnsiTheme="majorHAnsi"/>
          <w:sz w:val="28"/>
          <w:szCs w:val="28"/>
        </w:rPr>
        <w:t xml:space="preserve">adlandırılamayacağı </w:t>
      </w:r>
      <w:r w:rsidRPr="000C1B20">
        <w:rPr>
          <w:rFonts w:asciiTheme="majorHAnsi" w:hAnsiTheme="majorHAnsi"/>
          <w:sz w:val="28"/>
          <w:szCs w:val="28"/>
        </w:rPr>
        <w:t xml:space="preserve">davacıya tazminat ödenmesini gerektirecek idarenin herhangi bir eylem </w:t>
      </w:r>
      <w:r w:rsidR="00DC26A2" w:rsidRPr="000C1B20">
        <w:rPr>
          <w:rFonts w:asciiTheme="majorHAnsi" w:hAnsiTheme="majorHAnsi"/>
          <w:sz w:val="28"/>
          <w:szCs w:val="28"/>
        </w:rPr>
        <w:t>ya da</w:t>
      </w:r>
      <w:r w:rsidRPr="000C1B20">
        <w:rPr>
          <w:rFonts w:asciiTheme="majorHAnsi" w:hAnsiTheme="majorHAnsi"/>
          <w:sz w:val="28"/>
          <w:szCs w:val="28"/>
        </w:rPr>
        <w:t xml:space="preserve"> işleminin bulunmadığı ileri sürülerek davanın reddi gerektiği savunulmaktadır.</w:t>
      </w:r>
    </w:p>
    <w:p w:rsidR="00D70D11" w:rsidRPr="000C1B20" w:rsidRDefault="00D70D11" w:rsidP="00DC26A2">
      <w:pPr>
        <w:pStyle w:val="Gvdemetni0"/>
        <w:shd w:val="clear" w:color="auto" w:fill="auto"/>
        <w:spacing w:after="0" w:line="240" w:lineRule="auto"/>
        <w:ind w:left="-567"/>
        <w:jc w:val="both"/>
        <w:rPr>
          <w:rFonts w:asciiTheme="majorHAnsi" w:hAnsiTheme="majorHAnsi"/>
          <w:sz w:val="28"/>
          <w:szCs w:val="28"/>
        </w:rPr>
      </w:pPr>
    </w:p>
    <w:p w:rsidR="0015168E" w:rsidRDefault="00D70D11" w:rsidP="00DC26A2">
      <w:pPr>
        <w:pStyle w:val="Gvdemetni0"/>
        <w:shd w:val="clear" w:color="auto" w:fill="auto"/>
        <w:spacing w:after="0" w:line="240" w:lineRule="auto"/>
        <w:ind w:left="-567"/>
        <w:jc w:val="both"/>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00E61F10" w:rsidRPr="000C1B20">
        <w:rPr>
          <w:rFonts w:asciiTheme="majorHAnsi" w:hAnsiTheme="majorHAnsi"/>
          <w:sz w:val="28"/>
          <w:szCs w:val="28"/>
        </w:rPr>
        <w:t>TÜRK MİLLETİ ADINA</w:t>
      </w:r>
    </w:p>
    <w:p w:rsidR="00D70D11" w:rsidRPr="000C1B20" w:rsidRDefault="00D70D11" w:rsidP="00DC26A2">
      <w:pPr>
        <w:pStyle w:val="Gvdemetni0"/>
        <w:shd w:val="clear" w:color="auto" w:fill="auto"/>
        <w:spacing w:after="0" w:line="240" w:lineRule="auto"/>
        <w:ind w:left="-567"/>
        <w:jc w:val="both"/>
        <w:rPr>
          <w:rFonts w:asciiTheme="majorHAnsi" w:hAnsiTheme="majorHAnsi"/>
          <w:sz w:val="28"/>
          <w:szCs w:val="28"/>
        </w:rPr>
      </w:pPr>
    </w:p>
    <w:p w:rsidR="0015168E" w:rsidRDefault="00E61F10" w:rsidP="00DC26A2">
      <w:pPr>
        <w:pStyle w:val="Gvdemetni0"/>
        <w:shd w:val="clear" w:color="auto" w:fill="auto"/>
        <w:spacing w:after="0" w:line="240" w:lineRule="auto"/>
        <w:ind w:left="-567" w:firstLine="700"/>
        <w:jc w:val="both"/>
        <w:rPr>
          <w:rFonts w:asciiTheme="majorHAnsi" w:hAnsiTheme="majorHAnsi"/>
          <w:sz w:val="28"/>
          <w:szCs w:val="28"/>
        </w:rPr>
      </w:pPr>
      <w:r w:rsidRPr="000C1B20">
        <w:rPr>
          <w:rFonts w:asciiTheme="majorHAnsi" w:hAnsiTheme="majorHAnsi"/>
          <w:sz w:val="28"/>
          <w:szCs w:val="28"/>
        </w:rPr>
        <w:t xml:space="preserve">Karar veren Manisa 1. İdare Mahkemesi'nce, önceden belirlenerek taraflara bildirilen </w:t>
      </w:r>
      <w:r w:rsidR="00D70D11" w:rsidRPr="000C1B20">
        <w:rPr>
          <w:rFonts w:asciiTheme="majorHAnsi" w:hAnsiTheme="majorHAnsi"/>
          <w:sz w:val="28"/>
          <w:szCs w:val="28"/>
        </w:rPr>
        <w:t>08.01.2014</w:t>
      </w:r>
      <w:r w:rsidRPr="000C1B20">
        <w:rPr>
          <w:rFonts w:asciiTheme="majorHAnsi" w:hAnsiTheme="majorHAnsi"/>
          <w:sz w:val="28"/>
          <w:szCs w:val="28"/>
        </w:rPr>
        <w:t xml:space="preserve"> tarihinde yapılan duruşmaya davacıyı temsilen </w:t>
      </w:r>
      <w:r w:rsidR="00D70D11">
        <w:rPr>
          <w:rFonts w:asciiTheme="majorHAnsi" w:hAnsiTheme="majorHAnsi"/>
          <w:sz w:val="28"/>
          <w:szCs w:val="28"/>
        </w:rPr>
        <w:tab/>
      </w:r>
      <w:r w:rsidR="00D70D11">
        <w:rPr>
          <w:rFonts w:asciiTheme="majorHAnsi" w:hAnsiTheme="majorHAnsi"/>
          <w:sz w:val="28"/>
          <w:szCs w:val="28"/>
        </w:rPr>
        <w:tab/>
      </w:r>
      <w:r w:rsidR="00D70D11">
        <w:rPr>
          <w:rFonts w:asciiTheme="majorHAnsi" w:hAnsiTheme="majorHAnsi"/>
          <w:sz w:val="28"/>
          <w:szCs w:val="28"/>
        </w:rPr>
        <w:tab/>
      </w:r>
      <w:r w:rsidRPr="000C1B20">
        <w:rPr>
          <w:rFonts w:asciiTheme="majorHAnsi" w:hAnsiTheme="majorHAnsi"/>
          <w:sz w:val="28"/>
          <w:szCs w:val="28"/>
        </w:rPr>
        <w:t>ile davalı idareyi temsile</w:t>
      </w:r>
      <w:r w:rsidR="00D70D11">
        <w:rPr>
          <w:rFonts w:asciiTheme="majorHAnsi" w:hAnsiTheme="majorHAnsi"/>
          <w:sz w:val="28"/>
          <w:szCs w:val="28"/>
        </w:rPr>
        <w:t xml:space="preserve">n </w:t>
      </w:r>
      <w:r w:rsidR="00D70D11">
        <w:rPr>
          <w:rFonts w:asciiTheme="majorHAnsi" w:hAnsiTheme="majorHAnsi"/>
          <w:sz w:val="28"/>
          <w:szCs w:val="28"/>
        </w:rPr>
        <w:tab/>
      </w:r>
      <w:r w:rsidR="00D70D11">
        <w:rPr>
          <w:rFonts w:asciiTheme="majorHAnsi" w:hAnsiTheme="majorHAnsi"/>
          <w:sz w:val="28"/>
          <w:szCs w:val="28"/>
        </w:rPr>
        <w:tab/>
      </w:r>
      <w:r w:rsidRPr="000C1B20">
        <w:rPr>
          <w:rFonts w:asciiTheme="majorHAnsi" w:hAnsiTheme="majorHAnsi"/>
          <w:sz w:val="28"/>
          <w:szCs w:val="28"/>
        </w:rPr>
        <w:t xml:space="preserve"> geldiği görüldü. Taraflara usulüne uygun söz verilip açıklamaları dinlendikten sonra duruşmaya son verilerek işin gereği görüşüldü:</w:t>
      </w:r>
    </w:p>
    <w:p w:rsidR="00D70D11" w:rsidRPr="000C1B20" w:rsidRDefault="00D70D11" w:rsidP="00DC26A2">
      <w:pPr>
        <w:pStyle w:val="Gvdemetni0"/>
        <w:shd w:val="clear" w:color="auto" w:fill="auto"/>
        <w:spacing w:after="0" w:line="240" w:lineRule="auto"/>
        <w:ind w:left="-567" w:firstLine="700"/>
        <w:jc w:val="both"/>
        <w:rPr>
          <w:rFonts w:asciiTheme="majorHAnsi" w:hAnsiTheme="majorHAnsi"/>
          <w:sz w:val="28"/>
          <w:szCs w:val="28"/>
        </w:rPr>
      </w:pPr>
    </w:p>
    <w:p w:rsidR="0015168E" w:rsidRDefault="00E61F10" w:rsidP="00DC26A2">
      <w:pPr>
        <w:pStyle w:val="Gvdemetni0"/>
        <w:shd w:val="clear" w:color="auto" w:fill="auto"/>
        <w:spacing w:after="0" w:line="240" w:lineRule="auto"/>
        <w:ind w:left="-567" w:firstLine="700"/>
        <w:jc w:val="both"/>
        <w:rPr>
          <w:rFonts w:asciiTheme="majorHAnsi" w:hAnsiTheme="majorHAnsi"/>
          <w:sz w:val="28"/>
          <w:szCs w:val="28"/>
        </w:rPr>
      </w:pPr>
      <w:r w:rsidRPr="000C1B20">
        <w:rPr>
          <w:rFonts w:asciiTheme="majorHAnsi" w:hAnsiTheme="majorHAnsi"/>
          <w:sz w:val="28"/>
          <w:szCs w:val="28"/>
        </w:rPr>
        <w:t>Anayasanın 125. maddesinin son fıkrasında, idarenin kendi eylem ve işlemlerinden doğan zararı ödemekle yükümlü olduğu hükme bağlanmıştır.</w:t>
      </w:r>
    </w:p>
    <w:p w:rsidR="00D70D11" w:rsidRPr="000C1B20" w:rsidRDefault="00D70D11" w:rsidP="00DC26A2">
      <w:pPr>
        <w:pStyle w:val="Gvdemetni0"/>
        <w:shd w:val="clear" w:color="auto" w:fill="auto"/>
        <w:spacing w:after="0" w:line="240" w:lineRule="auto"/>
        <w:ind w:left="-567" w:firstLine="700"/>
        <w:jc w:val="both"/>
        <w:rPr>
          <w:rFonts w:asciiTheme="majorHAnsi" w:hAnsiTheme="majorHAnsi"/>
          <w:sz w:val="28"/>
          <w:szCs w:val="28"/>
        </w:rPr>
      </w:pPr>
    </w:p>
    <w:p w:rsidR="0015168E" w:rsidRDefault="00E61F10" w:rsidP="00DC26A2">
      <w:pPr>
        <w:pStyle w:val="Gvdemetni0"/>
        <w:shd w:val="clear" w:color="auto" w:fill="auto"/>
        <w:spacing w:after="0" w:line="240" w:lineRule="auto"/>
        <w:ind w:left="-567" w:firstLine="700"/>
        <w:jc w:val="both"/>
        <w:rPr>
          <w:rFonts w:asciiTheme="majorHAnsi" w:hAnsiTheme="majorHAnsi"/>
          <w:sz w:val="28"/>
          <w:szCs w:val="28"/>
        </w:rPr>
      </w:pPr>
      <w:r w:rsidRPr="000C1B20">
        <w:rPr>
          <w:rFonts w:asciiTheme="majorHAnsi" w:hAnsiTheme="majorHAnsi"/>
          <w:sz w:val="28"/>
          <w:szCs w:val="28"/>
        </w:rPr>
        <w:t xml:space="preserve">Doktrinde ve idari yargı içtihatlarında açıkça ortaya konulduğu üzere manevi tazminat; </w:t>
      </w:r>
      <w:r w:rsidR="00DC26A2" w:rsidRPr="000C1B20">
        <w:rPr>
          <w:rFonts w:asciiTheme="majorHAnsi" w:hAnsiTheme="majorHAnsi"/>
          <w:sz w:val="28"/>
          <w:szCs w:val="28"/>
        </w:rPr>
        <w:t>patrimuanda</w:t>
      </w:r>
      <w:r w:rsidR="00DC26A2">
        <w:rPr>
          <w:rFonts w:asciiTheme="majorHAnsi" w:hAnsiTheme="majorHAnsi"/>
          <w:sz w:val="28"/>
          <w:szCs w:val="28"/>
        </w:rPr>
        <w:t xml:space="preserve"> </w:t>
      </w:r>
      <w:r w:rsidR="00DC26A2" w:rsidRPr="000C1B20">
        <w:rPr>
          <w:rFonts w:asciiTheme="majorHAnsi" w:hAnsiTheme="majorHAnsi"/>
          <w:sz w:val="28"/>
          <w:szCs w:val="28"/>
        </w:rPr>
        <w:t>meydana</w:t>
      </w:r>
      <w:r w:rsidRPr="000C1B20">
        <w:rPr>
          <w:rFonts w:asciiTheme="majorHAnsi" w:hAnsiTheme="majorHAnsi"/>
          <w:sz w:val="28"/>
          <w:szCs w:val="28"/>
        </w:rPr>
        <w:t xml:space="preserve"> gelen bir eksilmeyi karşılamaya yönelik bir tazmin aracı değil, idarenin mevzuata aykırı işlem veya eylemleri sonucu ilgililerin, şeref ve haysiyetinin zedelenmesi ya da ağır bir elem ve acı duymasına neden olması nedeniyle uğradıkları elem ve üzüntünün kısmen giderilmesine yönelik bir tatmin aracı olup olay nedeniyle duyulan elem ve ızdırabı kısmen de olsa hafifletmeyi amaçladığı idare hukukunun temel ilkelerindendir.</w:t>
      </w:r>
    </w:p>
    <w:p w:rsidR="00D70D11" w:rsidRDefault="00D70D11" w:rsidP="00DC26A2">
      <w:pPr>
        <w:pStyle w:val="Gvdemetni0"/>
        <w:shd w:val="clear" w:color="auto" w:fill="auto"/>
        <w:spacing w:after="0" w:line="240" w:lineRule="auto"/>
        <w:ind w:left="-567" w:firstLine="700"/>
        <w:jc w:val="both"/>
        <w:rPr>
          <w:rFonts w:asciiTheme="majorHAnsi" w:hAnsiTheme="majorHAnsi"/>
          <w:sz w:val="28"/>
          <w:szCs w:val="28"/>
        </w:rPr>
      </w:pPr>
    </w:p>
    <w:p w:rsidR="00D70D11" w:rsidRDefault="00D70D11" w:rsidP="00DC26A2">
      <w:pPr>
        <w:pStyle w:val="Gvdemetni0"/>
        <w:shd w:val="clear" w:color="auto" w:fill="auto"/>
        <w:spacing w:after="0" w:line="240" w:lineRule="auto"/>
        <w:ind w:left="-567" w:firstLine="700"/>
        <w:jc w:val="both"/>
        <w:rPr>
          <w:rFonts w:asciiTheme="majorHAnsi" w:hAnsiTheme="majorHAnsi"/>
          <w:sz w:val="28"/>
          <w:szCs w:val="28"/>
        </w:rPr>
      </w:pPr>
    </w:p>
    <w:p w:rsidR="0015168E" w:rsidRDefault="00D70D11" w:rsidP="00DC26A2">
      <w:pPr>
        <w:pStyle w:val="Gvdemetni0"/>
        <w:shd w:val="clear" w:color="auto" w:fill="auto"/>
        <w:spacing w:after="0" w:line="240" w:lineRule="auto"/>
        <w:ind w:left="-567"/>
        <w:jc w:val="both"/>
        <w:rPr>
          <w:rFonts w:asciiTheme="majorHAnsi" w:hAnsiTheme="majorHAnsi"/>
          <w:sz w:val="28"/>
          <w:szCs w:val="28"/>
        </w:rPr>
      </w:pPr>
      <w:r>
        <w:rPr>
          <w:rFonts w:asciiTheme="majorHAnsi" w:hAnsiTheme="majorHAnsi"/>
          <w:sz w:val="28"/>
          <w:szCs w:val="28"/>
        </w:rPr>
        <w:tab/>
      </w:r>
      <w:r w:rsidR="00E61F10" w:rsidRPr="000C1B20">
        <w:rPr>
          <w:rFonts w:asciiTheme="majorHAnsi" w:hAnsiTheme="majorHAnsi"/>
          <w:sz w:val="28"/>
          <w:szCs w:val="28"/>
        </w:rPr>
        <w:t>Bir başka anlatımla manevi tazminat; doğrudan doğruy</w:t>
      </w:r>
      <w:r>
        <w:rPr>
          <w:rFonts w:asciiTheme="majorHAnsi" w:hAnsiTheme="majorHAnsi"/>
          <w:sz w:val="28"/>
          <w:szCs w:val="28"/>
        </w:rPr>
        <w:t xml:space="preserve">a zararın karşılığı olmayıp </w:t>
      </w:r>
      <w:r w:rsidR="00E61F10" w:rsidRPr="000C1B20">
        <w:rPr>
          <w:rFonts w:asciiTheme="majorHAnsi" w:hAnsiTheme="majorHAnsi"/>
          <w:sz w:val="28"/>
          <w:szCs w:val="28"/>
        </w:rPr>
        <w:t xml:space="preserve">zarardan dolayı </w:t>
      </w:r>
      <w:r>
        <w:rPr>
          <w:rFonts w:asciiTheme="majorHAnsi" w:hAnsiTheme="majorHAnsi"/>
          <w:sz w:val="28"/>
          <w:szCs w:val="28"/>
        </w:rPr>
        <w:t xml:space="preserve">kişinin duyduğu elem ve </w:t>
      </w:r>
      <w:r w:rsidR="00DC26A2">
        <w:rPr>
          <w:rFonts w:asciiTheme="majorHAnsi" w:hAnsiTheme="majorHAnsi"/>
          <w:sz w:val="28"/>
          <w:szCs w:val="28"/>
        </w:rPr>
        <w:t xml:space="preserve">ızdırabın </w:t>
      </w:r>
      <w:r w:rsidR="00DC26A2" w:rsidRPr="000C1B20">
        <w:rPr>
          <w:rFonts w:asciiTheme="majorHAnsi" w:hAnsiTheme="majorHAnsi"/>
          <w:sz w:val="28"/>
          <w:szCs w:val="28"/>
        </w:rPr>
        <w:t>bir</w:t>
      </w:r>
      <w:r w:rsidR="00E61F10" w:rsidRPr="000C1B20">
        <w:rPr>
          <w:rFonts w:asciiTheme="majorHAnsi" w:hAnsiTheme="majorHAnsi"/>
          <w:sz w:val="28"/>
          <w:szCs w:val="28"/>
        </w:rPr>
        <w:t xml:space="preserve"> miktar da olsa a</w:t>
      </w:r>
      <w:r>
        <w:rPr>
          <w:rFonts w:asciiTheme="majorHAnsi" w:hAnsiTheme="majorHAnsi"/>
          <w:sz w:val="28"/>
          <w:szCs w:val="28"/>
        </w:rPr>
        <w:t xml:space="preserve">zaltılmasına yönelik </w:t>
      </w:r>
      <w:r w:rsidR="00E61F10" w:rsidRPr="000C1B20">
        <w:rPr>
          <w:rFonts w:asciiTheme="majorHAnsi" w:hAnsiTheme="majorHAnsi"/>
          <w:sz w:val="28"/>
          <w:szCs w:val="28"/>
        </w:rPr>
        <w:t>olarak ödenen paradır. İdare hukuku ilkelerine göre manevi tazminata hü</w:t>
      </w:r>
      <w:r>
        <w:rPr>
          <w:rFonts w:asciiTheme="majorHAnsi" w:hAnsiTheme="majorHAnsi"/>
          <w:sz w:val="28"/>
          <w:szCs w:val="28"/>
        </w:rPr>
        <w:t xml:space="preserve">kmedilebilmesi için </w:t>
      </w:r>
      <w:r w:rsidR="00E61F10" w:rsidRPr="000C1B20">
        <w:rPr>
          <w:rFonts w:asciiTheme="majorHAnsi" w:hAnsiTheme="majorHAnsi"/>
          <w:sz w:val="28"/>
          <w:szCs w:val="28"/>
        </w:rPr>
        <w:t>ise idarenin hukuka aykırı işlemi veya eylemi sonucunda ağır elem ve ızdırap duyulmuş" " olması ya da ilgilinin şeref ve onurunun zedelenmiş olması veya kişinin fiziksel yapısını zedeleyen yaşama ve kazanma gücünün azalması sonucunu doğuran olayların meydana gelmiş olması gerekmektedir.</w:t>
      </w:r>
    </w:p>
    <w:p w:rsidR="00D70D11" w:rsidRDefault="00D70D11" w:rsidP="00DC26A2">
      <w:pPr>
        <w:pStyle w:val="Gvdemetni0"/>
        <w:shd w:val="clear" w:color="auto" w:fill="auto"/>
        <w:spacing w:after="0" w:line="240" w:lineRule="auto"/>
        <w:ind w:left="-567"/>
        <w:jc w:val="both"/>
        <w:rPr>
          <w:rFonts w:asciiTheme="majorHAnsi" w:hAnsiTheme="majorHAnsi"/>
          <w:sz w:val="28"/>
          <w:szCs w:val="28"/>
        </w:rPr>
      </w:pPr>
    </w:p>
    <w:p w:rsidR="0015168E" w:rsidRDefault="00D70D11" w:rsidP="00DC26A2">
      <w:pPr>
        <w:pStyle w:val="Gvdemetni0"/>
        <w:shd w:val="clear" w:color="auto" w:fill="auto"/>
        <w:spacing w:after="0" w:line="240" w:lineRule="auto"/>
        <w:ind w:left="-567" w:firstLine="680"/>
        <w:jc w:val="both"/>
        <w:rPr>
          <w:rFonts w:asciiTheme="majorHAnsi" w:hAnsiTheme="majorHAnsi"/>
          <w:sz w:val="28"/>
          <w:szCs w:val="28"/>
        </w:rPr>
      </w:pPr>
      <w:r>
        <w:rPr>
          <w:rFonts w:asciiTheme="majorHAnsi" w:hAnsiTheme="majorHAnsi"/>
          <w:sz w:val="28"/>
          <w:szCs w:val="28"/>
        </w:rPr>
        <w:t>İ</w:t>
      </w:r>
      <w:r w:rsidR="00E61F10" w:rsidRPr="000C1B20">
        <w:rPr>
          <w:rFonts w:asciiTheme="majorHAnsi" w:hAnsiTheme="majorHAnsi"/>
          <w:sz w:val="28"/>
          <w:szCs w:val="28"/>
        </w:rPr>
        <w:t>darece tesis olunan bir işlemin yargı kararıyla iptal edilmesi veya ceza mahkemesinden beraat etme her zaman ilgiliye manevi tazminat ödenmesini gerektirmez. Bu hususta yukarıda da açıklandığı üzere idarenin hukuka aykırı işlem veya eyleminin, ilgilinin ağır bir elem ve acı duymasını gerektirecek oran ve ağırlıkta olması gerekmektedir.</w:t>
      </w:r>
    </w:p>
    <w:p w:rsidR="0015168E" w:rsidRDefault="00E61F10" w:rsidP="00DC26A2">
      <w:pPr>
        <w:pStyle w:val="Gvdemetni0"/>
        <w:shd w:val="clear" w:color="auto" w:fill="auto"/>
        <w:spacing w:after="0" w:line="240" w:lineRule="auto"/>
        <w:ind w:left="-567" w:firstLine="680"/>
        <w:jc w:val="both"/>
        <w:rPr>
          <w:rFonts w:asciiTheme="majorHAnsi" w:hAnsiTheme="majorHAnsi"/>
          <w:sz w:val="28"/>
          <w:szCs w:val="28"/>
        </w:rPr>
      </w:pPr>
      <w:r w:rsidRPr="000C1B20">
        <w:rPr>
          <w:rFonts w:asciiTheme="majorHAnsi" w:hAnsiTheme="majorHAnsi"/>
          <w:sz w:val="28"/>
          <w:szCs w:val="28"/>
        </w:rPr>
        <w:t xml:space="preserve">Dava dosyasının incelenmesinden; Manisa Tapu </w:t>
      </w:r>
      <w:r w:rsidR="00A30DF0" w:rsidRPr="000C1B20">
        <w:rPr>
          <w:rFonts w:asciiTheme="majorHAnsi" w:hAnsiTheme="majorHAnsi"/>
          <w:sz w:val="28"/>
          <w:szCs w:val="28"/>
        </w:rPr>
        <w:t>Müdürlüğü</w:t>
      </w:r>
      <w:r w:rsidR="00A30DF0">
        <w:rPr>
          <w:rFonts w:asciiTheme="majorHAnsi" w:hAnsiTheme="majorHAnsi"/>
          <w:sz w:val="28"/>
          <w:szCs w:val="28"/>
          <w:vertAlign w:val="superscript"/>
        </w:rPr>
        <w:t xml:space="preserve"> </w:t>
      </w:r>
      <w:r w:rsidR="00A30DF0" w:rsidRPr="000C1B20">
        <w:rPr>
          <w:rFonts w:asciiTheme="majorHAnsi" w:hAnsiTheme="majorHAnsi"/>
          <w:sz w:val="28"/>
          <w:szCs w:val="28"/>
        </w:rPr>
        <w:t>nde</w:t>
      </w:r>
      <w:r w:rsidRPr="000C1B20">
        <w:rPr>
          <w:rFonts w:asciiTheme="majorHAnsi" w:hAnsiTheme="majorHAnsi"/>
          <w:sz w:val="28"/>
          <w:szCs w:val="28"/>
        </w:rPr>
        <w:t xml:space="preserve"> tapu sicil müdür yardımcısı olarak görev yapan davacı tarafından, davalı idarenin kendisine karşı sürekli, düzenli ve sistematik olarak mobbing uyguladığı, bu suretle hakkında atama, disiplin cezası, geçici görevlendirme, düşük sicil olmak üzere pek çok idari işlem tesis edildiği, bu idari işlemlere karşı açmış olduğu idari davaların lehine sonuçlandığı ifade edilerek duyduğu manevi acı ve elemin karşılığı olarak 55.000 TL manevi tazminatın dava tarihinden itibaren işleyecek yasal faiziyle birlikte davalı idarece tarafına ödenmesine karar verilmesi istemiyle bakılmakta olan davanın açıldığı anlaşılmaktadır.</w:t>
      </w:r>
    </w:p>
    <w:p w:rsidR="00D70D11" w:rsidRPr="000C1B20" w:rsidRDefault="00D70D11" w:rsidP="00DC26A2">
      <w:pPr>
        <w:pStyle w:val="Gvdemetni0"/>
        <w:shd w:val="clear" w:color="auto" w:fill="auto"/>
        <w:spacing w:after="0" w:line="240" w:lineRule="auto"/>
        <w:ind w:left="-567" w:firstLine="680"/>
        <w:jc w:val="both"/>
        <w:rPr>
          <w:rFonts w:asciiTheme="majorHAnsi" w:hAnsiTheme="majorHAnsi"/>
          <w:sz w:val="28"/>
          <w:szCs w:val="28"/>
        </w:rPr>
      </w:pPr>
    </w:p>
    <w:p w:rsidR="0015168E" w:rsidRDefault="00E61F10" w:rsidP="00DC26A2">
      <w:pPr>
        <w:pStyle w:val="Gvdemetni0"/>
        <w:shd w:val="clear" w:color="auto" w:fill="auto"/>
        <w:spacing w:after="0" w:line="240" w:lineRule="auto"/>
        <w:ind w:left="-567" w:firstLine="680"/>
        <w:jc w:val="both"/>
        <w:rPr>
          <w:rFonts w:asciiTheme="majorHAnsi" w:hAnsiTheme="majorHAnsi"/>
          <w:sz w:val="28"/>
          <w:szCs w:val="28"/>
        </w:rPr>
      </w:pPr>
      <w:r w:rsidRPr="000C1B20">
        <w:rPr>
          <w:rFonts w:asciiTheme="majorHAnsi" w:hAnsiTheme="majorHAnsi"/>
          <w:sz w:val="28"/>
          <w:szCs w:val="28"/>
        </w:rPr>
        <w:t>Bakılan davada, dava dosyası ve eklerinin tetkikinden davalı idarece davacı hakkında atama, geçici görevlendirme, kişisel tanıtım raporu, disiplin cezası, düşük sicil gibi birtakım işlemlerin tesis edildiği ve bu işlemlerin iptali istemiyle açılan davaların çoğunlukla davacı lehine karara bağlandığı, fakat davacı aleyhine sonuçlanan idari davaların da bulunduğu, UYAP kayıtları üzerinde ve Mahkememiz ara kararıyla sorulması üzerine dosyaya sunulan belgelerden davacının göreviyle ilgili olarak hakkında açılmış biten veya yargılaması devam eden ceza davalarının da bulunduğu görülmektedir.</w:t>
      </w:r>
    </w:p>
    <w:p w:rsidR="00DC26A2" w:rsidRDefault="00E61F10" w:rsidP="00DC26A2">
      <w:pPr>
        <w:pStyle w:val="Gvdemetni0"/>
        <w:shd w:val="clear" w:color="auto" w:fill="auto"/>
        <w:spacing w:after="0" w:line="240" w:lineRule="auto"/>
        <w:ind w:left="-567" w:firstLine="680"/>
        <w:jc w:val="both"/>
        <w:rPr>
          <w:rFonts w:asciiTheme="majorHAnsi" w:hAnsiTheme="majorHAnsi"/>
          <w:sz w:val="28"/>
          <w:szCs w:val="28"/>
        </w:rPr>
      </w:pPr>
      <w:r w:rsidRPr="000C1B20">
        <w:rPr>
          <w:rFonts w:asciiTheme="majorHAnsi" w:hAnsiTheme="majorHAnsi"/>
          <w:sz w:val="28"/>
          <w:szCs w:val="28"/>
        </w:rPr>
        <w:t xml:space="preserve">Mahkememizce yapılan değerlendirmede; davalı idarece davacı hakkında tesis edilen kimi işlemlerin yargı yerlerince iptal edildiği görülmekle birlikte, idarece tesis olunan bir işlemin yargı kararıyla iptal edilmesi </w:t>
      </w:r>
      <w:r w:rsidR="00DC26A2">
        <w:rPr>
          <w:rFonts w:asciiTheme="majorHAnsi" w:hAnsiTheme="majorHAnsi"/>
          <w:sz w:val="28"/>
          <w:szCs w:val="28"/>
        </w:rPr>
        <w:t>veya ceza mahk</w:t>
      </w:r>
      <w:r w:rsidRPr="000C1B20">
        <w:rPr>
          <w:rFonts w:asciiTheme="majorHAnsi" w:hAnsiTheme="majorHAnsi"/>
          <w:sz w:val="28"/>
          <w:szCs w:val="28"/>
        </w:rPr>
        <w:t>emesinden beraat etmenin her zaman ilgiliye manevi tazminat ödenmesini gerektirmeyeceği, kusur sorumluluğunda hukuka aykırılığın tazmin için yeterli olmadığı, hukuka aykırılığın idarenin kusurundan da kaynaklanması gerektiği, davacıya idarece mobbing uygulandığı hususunda davacının mücerret iddiası haricinde somut ve hukuken geçerli delil bulunmadığı, kusur sorumluluğu için gerekli olan kusur, zarar, hukuka aykırılık, uygun illiyet bağı şartlarının somut olayda bir arada bulunmadığı, sonuç olarak tazmin için aranan yasal şartların somut uyuşmazlıkta tahakkuk etmediği sonuç ve kanaatine varıldığından davacının manevi tazminata yönelik talebinin reddi gerekmektedir</w:t>
      </w:r>
    </w:p>
    <w:p w:rsidR="00DC26A2" w:rsidRDefault="00DC26A2" w:rsidP="00DC26A2">
      <w:pPr>
        <w:pStyle w:val="Gvdemetni0"/>
        <w:shd w:val="clear" w:color="auto" w:fill="auto"/>
        <w:spacing w:after="0" w:line="240" w:lineRule="auto"/>
        <w:ind w:left="-567" w:firstLine="680"/>
        <w:jc w:val="both"/>
        <w:rPr>
          <w:rFonts w:asciiTheme="majorHAnsi" w:hAnsiTheme="majorHAnsi"/>
          <w:sz w:val="28"/>
          <w:szCs w:val="28"/>
        </w:rPr>
      </w:pPr>
    </w:p>
    <w:p w:rsidR="0015168E" w:rsidRPr="000C1B20" w:rsidRDefault="00E61F10" w:rsidP="00DC26A2">
      <w:pPr>
        <w:pStyle w:val="Gvdemetni0"/>
        <w:shd w:val="clear" w:color="auto" w:fill="auto"/>
        <w:spacing w:after="0" w:line="240" w:lineRule="auto"/>
        <w:ind w:left="-567" w:firstLine="680"/>
        <w:jc w:val="both"/>
        <w:rPr>
          <w:rFonts w:asciiTheme="majorHAnsi" w:hAnsiTheme="majorHAnsi"/>
          <w:sz w:val="28"/>
          <w:szCs w:val="28"/>
        </w:rPr>
      </w:pPr>
      <w:r w:rsidRPr="000C1B20">
        <w:rPr>
          <w:rFonts w:asciiTheme="majorHAnsi" w:hAnsiTheme="majorHAnsi"/>
          <w:sz w:val="28"/>
          <w:szCs w:val="28"/>
        </w:rPr>
        <w:t>Açıklanan nedenlerle, davanın REDDİNE, aşağıda dökümü yapılan 88,45.-TL</w:t>
      </w:r>
    </w:p>
    <w:p w:rsidR="00DC26A2" w:rsidRDefault="00B31ED7" w:rsidP="00DC26A2">
      <w:pPr>
        <w:pStyle w:val="Gvdemetni0"/>
        <w:shd w:val="clear" w:color="auto" w:fill="auto"/>
        <w:spacing w:after="0" w:line="240" w:lineRule="auto"/>
        <w:ind w:left="-567"/>
        <w:jc w:val="both"/>
        <w:rPr>
          <w:rFonts w:asciiTheme="majorHAnsi" w:hAnsiTheme="majorHAnsi"/>
          <w:sz w:val="28"/>
          <w:szCs w:val="28"/>
        </w:rPr>
      </w:pPr>
      <w:r w:rsidRPr="000C1B20">
        <w:rPr>
          <w:rFonts w:asciiTheme="majorHAnsi" w:hAnsiTheme="majorHAnsi"/>
          <w:sz w:val="28"/>
          <w:szCs w:val="28"/>
        </w:rPr>
        <w:t>Yargılama</w:t>
      </w:r>
      <w:r w:rsidR="00E61F10" w:rsidRPr="000C1B20">
        <w:rPr>
          <w:rFonts w:asciiTheme="majorHAnsi" w:hAnsiTheme="majorHAnsi"/>
          <w:sz w:val="28"/>
          <w:szCs w:val="28"/>
        </w:rPr>
        <w:t xml:space="preserve"> giderinin davacı üzerinde bırakılmasına, peşin alman 816,75-TL karar harcından 21,15.-TL maktu karar harcının mahsubu ile bakiye 795,60.-TL harcın istek </w:t>
      </w:r>
    </w:p>
    <w:p w:rsidR="00DC26A2" w:rsidRDefault="00DC26A2" w:rsidP="00DC26A2">
      <w:pPr>
        <w:pStyle w:val="Gvdemetni0"/>
        <w:shd w:val="clear" w:color="auto" w:fill="auto"/>
        <w:spacing w:after="0" w:line="240" w:lineRule="auto"/>
        <w:ind w:left="-567"/>
        <w:jc w:val="both"/>
        <w:rPr>
          <w:rFonts w:asciiTheme="majorHAnsi" w:hAnsiTheme="majorHAnsi"/>
          <w:sz w:val="28"/>
          <w:szCs w:val="28"/>
        </w:rPr>
      </w:pPr>
    </w:p>
    <w:p w:rsidR="0015168E" w:rsidRPr="000C1B20" w:rsidRDefault="00330613" w:rsidP="00DC26A2">
      <w:pPr>
        <w:pStyle w:val="Gvdemetni0"/>
        <w:shd w:val="clear" w:color="auto" w:fill="auto"/>
        <w:spacing w:after="0" w:line="240" w:lineRule="auto"/>
        <w:ind w:left="-567"/>
        <w:jc w:val="both"/>
        <w:rPr>
          <w:rFonts w:asciiTheme="majorHAnsi" w:hAnsiTheme="majorHAnsi"/>
          <w:sz w:val="28"/>
          <w:szCs w:val="28"/>
        </w:rPr>
        <w:sectPr w:rsidR="0015168E" w:rsidRPr="000C1B20" w:rsidSect="000C1B20">
          <w:headerReference w:type="even" r:id="rId6"/>
          <w:headerReference w:type="default" r:id="rId7"/>
          <w:footerReference w:type="even" r:id="rId8"/>
          <w:footerReference w:type="default" r:id="rId9"/>
          <w:headerReference w:type="first" r:id="rId10"/>
          <w:footerReference w:type="first" r:id="rId11"/>
          <w:type w:val="continuous"/>
          <w:pgSz w:w="11905" w:h="16837"/>
          <w:pgMar w:top="220" w:right="765" w:bottom="946" w:left="1194"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pPr>
      <w:r w:rsidRPr="000C1B20">
        <w:rPr>
          <w:rFonts w:asciiTheme="majorHAnsi" w:hAnsiTheme="majorHAnsi"/>
          <w:sz w:val="28"/>
          <w:szCs w:val="28"/>
        </w:rPr>
        <w:t>Halinde</w:t>
      </w:r>
      <w:r w:rsidR="00E61F10" w:rsidRPr="000C1B20">
        <w:rPr>
          <w:rFonts w:asciiTheme="majorHAnsi" w:hAnsiTheme="majorHAnsi"/>
          <w:sz w:val="28"/>
          <w:szCs w:val="28"/>
        </w:rPr>
        <w:t xml:space="preserve"> davacıya iadesine, 1.500,00 TL avukatlık ücretinin davacıdan alınarak davalı idareye verilmesine, artan posta ücretinin karar kesinleştiğinde davacıya iadesine, kararın tebliğini izleyen tarihten itibaren 30 gün içerisinde Danıştay'a temyiz yolu açık olmak üzere </w:t>
      </w:r>
      <w:r w:rsidR="00A30DF0" w:rsidRPr="000C1B20">
        <w:rPr>
          <w:rFonts w:asciiTheme="majorHAnsi" w:hAnsiTheme="majorHAnsi"/>
          <w:sz w:val="28"/>
          <w:szCs w:val="28"/>
        </w:rPr>
        <w:t>09.01.2014</w:t>
      </w:r>
      <w:r w:rsidR="00E61F10" w:rsidRPr="000C1B20">
        <w:rPr>
          <w:rFonts w:asciiTheme="majorHAnsi" w:hAnsiTheme="majorHAnsi"/>
          <w:sz w:val="28"/>
          <w:szCs w:val="28"/>
        </w:rPr>
        <w:t xml:space="preserve"> tarihinde oybirliğiyle karar verildi.</w:t>
      </w:r>
    </w:p>
    <w:p w:rsidR="00B31ED7" w:rsidRDefault="00B31ED7" w:rsidP="00CA6F0B">
      <w:pPr>
        <w:ind w:left="-567"/>
        <w:jc w:val="both"/>
        <w:rPr>
          <w:rFonts w:asciiTheme="majorHAnsi" w:hAnsiTheme="majorHAnsi"/>
          <w:sz w:val="28"/>
          <w:szCs w:val="28"/>
        </w:rPr>
      </w:pPr>
    </w:p>
    <w:sectPr w:rsidR="00B31ED7" w:rsidSect="000C1B20">
      <w:type w:val="continuous"/>
      <w:pgSz w:w="11905" w:h="16837"/>
      <w:pgMar w:top="249" w:right="3481" w:bottom="1823" w:left="1311"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679" w:rsidRDefault="00341679" w:rsidP="0015168E">
      <w:r>
        <w:separator/>
      </w:r>
    </w:p>
  </w:endnote>
  <w:endnote w:type="continuationSeparator" w:id="1">
    <w:p w:rsidR="00341679" w:rsidRDefault="00341679" w:rsidP="0015168E">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A2" w:rsidRDefault="00DC26A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A2" w:rsidRDefault="00DC26A2">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A2" w:rsidRDefault="00DC26A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679" w:rsidRDefault="00341679"/>
  </w:footnote>
  <w:footnote w:type="continuationSeparator" w:id="1">
    <w:p w:rsidR="00341679" w:rsidRDefault="0034167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A2" w:rsidRDefault="00373FA0">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687206" o:spid="_x0000_s3074" type="#_x0000_t136" style="position:absolute;margin-left:0;margin-top:0;width:980.25pt;height:48pt;rotation:315;z-index:-251654144;mso-position-horizontal:center;mso-position-horizontal-relative:margin;mso-position-vertical:center;mso-position-vertical-relative:margin" o:allowincell="f" fillcolor="#0f243e [1615]" stroked="f">
          <v:fill opacity=".5"/>
          <v:textpath style="font-family:&quot;Arial Unicode MS&quot;" string="http://www.tkgm.gov.tr/tr/daire-başkanliklari/hukuk-müşavirliğ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A2" w:rsidRDefault="00373FA0">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687207" o:spid="_x0000_s3075" type="#_x0000_t136" style="position:absolute;margin-left:0;margin-top:0;width:980.25pt;height:48pt;rotation:315;z-index:-251652096;mso-position-horizontal:center;mso-position-horizontal-relative:margin;mso-position-vertical:center;mso-position-vertical-relative:margin" o:allowincell="f" fillcolor="#0f243e [1615]" stroked="f">
          <v:fill opacity=".5"/>
          <v:textpath style="font-family:&quot;Arial Unicode MS&quot;" string="http://www.tkgm.gov.tr/tr/daire-başkanliklari/hukuk-müşavirliği"/>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6A2" w:rsidRDefault="00373FA0">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687205" o:spid="_x0000_s3073" type="#_x0000_t136" style="position:absolute;margin-left:0;margin-top:0;width:980.25pt;height:48pt;rotation:315;z-index:-251656192;mso-position-horizontal:center;mso-position-horizontal-relative:margin;mso-position-vertical:center;mso-position-vertical-relative:margin" o:allowincell="f" fillcolor="#0f243e [1615]" stroked="f">
          <v:fill opacity=".5"/>
          <v:textpath style="font-family:&quot;Arial Unicode MS&quot;" string="http://www.tkgm.gov.tr/tr/daire-başkanliklari/hukuk-müşavirliği"/>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81"/>
  <w:drawingGridVerticalSpacing w:val="181"/>
  <w:characterSpacingControl w:val="compressPunctuation"/>
  <w:hdrShapeDefaults>
    <o:shapedefaults v:ext="edit" spidmax="6146">
      <o:colormenu v:ext="edit" fillcolor="none [662]"/>
    </o:shapedefaults>
    <o:shapelayout v:ext="edit">
      <o:idmap v:ext="edit" data="3"/>
    </o:shapelayout>
  </w:hdrShapeDefaults>
  <w:footnotePr>
    <w:footnote w:id="0"/>
    <w:footnote w:id="1"/>
  </w:footnotePr>
  <w:endnotePr>
    <w:endnote w:id="0"/>
    <w:endnote w:id="1"/>
  </w:endnotePr>
  <w:compat>
    <w:doNotExpandShiftReturn/>
    <w:useFELayout/>
  </w:compat>
  <w:rsids>
    <w:rsidRoot w:val="0015168E"/>
    <w:rsid w:val="0005711D"/>
    <w:rsid w:val="000C1B20"/>
    <w:rsid w:val="0015168E"/>
    <w:rsid w:val="00235C96"/>
    <w:rsid w:val="00330613"/>
    <w:rsid w:val="00341679"/>
    <w:rsid w:val="00373FA0"/>
    <w:rsid w:val="00443A95"/>
    <w:rsid w:val="00A30DF0"/>
    <w:rsid w:val="00B31ED7"/>
    <w:rsid w:val="00CA6F0B"/>
    <w:rsid w:val="00D70D11"/>
    <w:rsid w:val="00DC26A2"/>
    <w:rsid w:val="00E61F10"/>
    <w:rsid w:val="00EC6D9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168E"/>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15168E"/>
    <w:rPr>
      <w:color w:val="000080"/>
      <w:u w:val="single"/>
    </w:rPr>
  </w:style>
  <w:style w:type="character" w:customStyle="1" w:styleId="Gvdemetni">
    <w:name w:val="Gövde metni_"/>
    <w:basedOn w:val="VarsaylanParagrafYazTipi"/>
    <w:link w:val="Gvdemetni0"/>
    <w:rsid w:val="0015168E"/>
    <w:rPr>
      <w:rFonts w:ascii="Times New Roman" w:eastAsia="Times New Roman" w:hAnsi="Times New Roman" w:cs="Times New Roman"/>
      <w:b w:val="0"/>
      <w:bCs w:val="0"/>
      <w:i w:val="0"/>
      <w:iCs w:val="0"/>
      <w:smallCaps w:val="0"/>
      <w:strike w:val="0"/>
      <w:spacing w:val="0"/>
      <w:sz w:val="20"/>
      <w:szCs w:val="20"/>
    </w:rPr>
  </w:style>
  <w:style w:type="character" w:customStyle="1" w:styleId="Gvdemetni11pt">
    <w:name w:val="Gövde metni + 11 pt"/>
    <w:basedOn w:val="Gvdemetni"/>
    <w:rsid w:val="0015168E"/>
    <w:rPr>
      <w:spacing w:val="0"/>
      <w:sz w:val="22"/>
      <w:szCs w:val="22"/>
    </w:rPr>
  </w:style>
  <w:style w:type="character" w:customStyle="1" w:styleId="stbilgiveyaaltbilgi">
    <w:name w:val="Üst bilgi veya alt bilgi_"/>
    <w:basedOn w:val="VarsaylanParagrafYazTipi"/>
    <w:link w:val="stbilgiveyaaltbilgi0"/>
    <w:rsid w:val="0015168E"/>
    <w:rPr>
      <w:rFonts w:ascii="Times New Roman" w:eastAsia="Times New Roman" w:hAnsi="Times New Roman" w:cs="Times New Roman"/>
      <w:b w:val="0"/>
      <w:bCs w:val="0"/>
      <w:i w:val="0"/>
      <w:iCs w:val="0"/>
      <w:smallCaps w:val="0"/>
      <w:strike w:val="0"/>
      <w:sz w:val="20"/>
      <w:szCs w:val="20"/>
    </w:rPr>
  </w:style>
  <w:style w:type="character" w:customStyle="1" w:styleId="stbilgiveyaaltbilgi6pt">
    <w:name w:val="Üst bilgi veya alt bilgi + 6 pt"/>
    <w:basedOn w:val="stbilgiveyaaltbilgi"/>
    <w:rsid w:val="0015168E"/>
    <w:rPr>
      <w:spacing w:val="0"/>
      <w:sz w:val="12"/>
      <w:szCs w:val="12"/>
    </w:rPr>
  </w:style>
  <w:style w:type="character" w:customStyle="1" w:styleId="stbilgiveyaaltbilgi85pt">
    <w:name w:val="Üst bilgi veya alt bilgi + 8;5 pt"/>
    <w:basedOn w:val="stbilgiveyaaltbilgi"/>
    <w:rsid w:val="0015168E"/>
    <w:rPr>
      <w:spacing w:val="0"/>
      <w:sz w:val="17"/>
      <w:szCs w:val="17"/>
    </w:rPr>
  </w:style>
  <w:style w:type="character" w:customStyle="1" w:styleId="Gvdemetni1">
    <w:name w:val="Gövde metni"/>
    <w:basedOn w:val="Gvdemetni"/>
    <w:rsid w:val="0015168E"/>
    <w:rPr>
      <w:u w:val="single"/>
    </w:rPr>
  </w:style>
  <w:style w:type="character" w:customStyle="1" w:styleId="GvdemetniKaln">
    <w:name w:val="Gövde metni + Kalın"/>
    <w:basedOn w:val="Gvdemetni"/>
    <w:rsid w:val="0015168E"/>
    <w:rPr>
      <w:b/>
      <w:bCs/>
      <w:spacing w:val="0"/>
      <w:u w:val="single"/>
    </w:rPr>
  </w:style>
  <w:style w:type="character" w:customStyle="1" w:styleId="Balk1">
    <w:name w:val="Başlık #1_"/>
    <w:basedOn w:val="VarsaylanParagrafYazTipi"/>
    <w:link w:val="Balk10"/>
    <w:rsid w:val="0015168E"/>
    <w:rPr>
      <w:rFonts w:ascii="Times New Roman" w:eastAsia="Times New Roman" w:hAnsi="Times New Roman" w:cs="Times New Roman"/>
      <w:b w:val="0"/>
      <w:bCs w:val="0"/>
      <w:i w:val="0"/>
      <w:iCs w:val="0"/>
      <w:smallCaps w:val="0"/>
      <w:strike w:val="0"/>
      <w:spacing w:val="0"/>
      <w:sz w:val="20"/>
      <w:szCs w:val="20"/>
    </w:rPr>
  </w:style>
  <w:style w:type="character" w:customStyle="1" w:styleId="Balk115pt0ptbolukbraklyor">
    <w:name w:val="Başlık #1 + 15 pt;0 pt boşluk bırakılıyor"/>
    <w:basedOn w:val="Balk1"/>
    <w:rsid w:val="0015168E"/>
    <w:rPr>
      <w:spacing w:val="-10"/>
      <w:sz w:val="30"/>
      <w:szCs w:val="30"/>
    </w:rPr>
  </w:style>
  <w:style w:type="character" w:customStyle="1" w:styleId="Balk12">
    <w:name w:val="Başlık #1 (2)_"/>
    <w:basedOn w:val="VarsaylanParagrafYazTipi"/>
    <w:link w:val="Balk120"/>
    <w:rsid w:val="0015168E"/>
    <w:rPr>
      <w:rFonts w:ascii="Arial Narrow" w:eastAsia="Arial Narrow" w:hAnsi="Arial Narrow" w:cs="Arial Narrow"/>
      <w:b w:val="0"/>
      <w:bCs w:val="0"/>
      <w:i w:val="0"/>
      <w:iCs w:val="0"/>
      <w:smallCaps w:val="0"/>
      <w:strike w:val="0"/>
      <w:spacing w:val="10"/>
      <w:sz w:val="22"/>
      <w:szCs w:val="22"/>
    </w:rPr>
  </w:style>
  <w:style w:type="character" w:customStyle="1" w:styleId="Gvdemetni2">
    <w:name w:val="Gövde metni (2)_"/>
    <w:basedOn w:val="VarsaylanParagrafYazTipi"/>
    <w:link w:val="Gvdemetni20"/>
    <w:rsid w:val="0015168E"/>
    <w:rPr>
      <w:rFonts w:ascii="Times New Roman" w:eastAsia="Times New Roman" w:hAnsi="Times New Roman" w:cs="Times New Roman"/>
      <w:b w:val="0"/>
      <w:bCs w:val="0"/>
      <w:i w:val="0"/>
      <w:iCs w:val="0"/>
      <w:smallCaps w:val="0"/>
      <w:strike w:val="0"/>
      <w:spacing w:val="0"/>
      <w:sz w:val="20"/>
      <w:szCs w:val="20"/>
    </w:rPr>
  </w:style>
  <w:style w:type="character" w:customStyle="1" w:styleId="Gvdemetni3">
    <w:name w:val="Gövde metni (3)_"/>
    <w:basedOn w:val="VarsaylanParagrafYazTipi"/>
    <w:link w:val="Gvdemetni30"/>
    <w:rsid w:val="0015168E"/>
    <w:rPr>
      <w:rFonts w:ascii="Times New Roman" w:eastAsia="Times New Roman" w:hAnsi="Times New Roman" w:cs="Times New Roman"/>
      <w:b w:val="0"/>
      <w:bCs w:val="0"/>
      <w:i w:val="0"/>
      <w:iCs w:val="0"/>
      <w:smallCaps w:val="0"/>
      <w:strike w:val="0"/>
      <w:spacing w:val="0"/>
      <w:sz w:val="18"/>
      <w:szCs w:val="18"/>
    </w:rPr>
  </w:style>
  <w:style w:type="character" w:customStyle="1" w:styleId="Gvdemetni31">
    <w:name w:val="Gövde metni (3)"/>
    <w:basedOn w:val="Gvdemetni3"/>
    <w:rsid w:val="0015168E"/>
    <w:rPr>
      <w:u w:val="single"/>
    </w:rPr>
  </w:style>
  <w:style w:type="paragraph" w:customStyle="1" w:styleId="Gvdemetni0">
    <w:name w:val="Gövde metni"/>
    <w:basedOn w:val="Normal"/>
    <w:link w:val="Gvdemetni"/>
    <w:rsid w:val="0015168E"/>
    <w:pPr>
      <w:shd w:val="clear" w:color="auto" w:fill="FFFFFF"/>
      <w:spacing w:after="360" w:line="312" w:lineRule="exact"/>
      <w:jc w:val="center"/>
    </w:pPr>
    <w:rPr>
      <w:rFonts w:ascii="Times New Roman" w:eastAsia="Times New Roman" w:hAnsi="Times New Roman" w:cs="Times New Roman"/>
      <w:sz w:val="20"/>
      <w:szCs w:val="20"/>
    </w:rPr>
  </w:style>
  <w:style w:type="paragraph" w:customStyle="1" w:styleId="stbilgiveyaaltbilgi0">
    <w:name w:val="Üst bilgi veya alt bilgi"/>
    <w:basedOn w:val="Normal"/>
    <w:link w:val="stbilgiveyaaltbilgi"/>
    <w:rsid w:val="0015168E"/>
    <w:pPr>
      <w:shd w:val="clear" w:color="auto" w:fill="FFFFFF"/>
    </w:pPr>
    <w:rPr>
      <w:rFonts w:ascii="Times New Roman" w:eastAsia="Times New Roman" w:hAnsi="Times New Roman" w:cs="Times New Roman"/>
      <w:sz w:val="20"/>
      <w:szCs w:val="20"/>
    </w:rPr>
  </w:style>
  <w:style w:type="paragraph" w:customStyle="1" w:styleId="Balk10">
    <w:name w:val="Başlık #1"/>
    <w:basedOn w:val="Normal"/>
    <w:link w:val="Balk1"/>
    <w:rsid w:val="0015168E"/>
    <w:pPr>
      <w:shd w:val="clear" w:color="auto" w:fill="FFFFFF"/>
      <w:spacing w:after="300" w:line="0" w:lineRule="atLeast"/>
      <w:outlineLvl w:val="0"/>
    </w:pPr>
    <w:rPr>
      <w:rFonts w:ascii="Times New Roman" w:eastAsia="Times New Roman" w:hAnsi="Times New Roman" w:cs="Times New Roman"/>
      <w:sz w:val="20"/>
      <w:szCs w:val="20"/>
    </w:rPr>
  </w:style>
  <w:style w:type="paragraph" w:customStyle="1" w:styleId="Balk120">
    <w:name w:val="Başlık #1 (2)"/>
    <w:basedOn w:val="Normal"/>
    <w:link w:val="Balk12"/>
    <w:rsid w:val="0015168E"/>
    <w:pPr>
      <w:shd w:val="clear" w:color="auto" w:fill="FFFFFF"/>
      <w:spacing w:line="0" w:lineRule="atLeast"/>
      <w:outlineLvl w:val="0"/>
    </w:pPr>
    <w:rPr>
      <w:rFonts w:ascii="Arial Narrow" w:eastAsia="Arial Narrow" w:hAnsi="Arial Narrow" w:cs="Arial Narrow"/>
      <w:b/>
      <w:bCs/>
      <w:i/>
      <w:iCs/>
      <w:spacing w:val="10"/>
      <w:sz w:val="22"/>
      <w:szCs w:val="22"/>
    </w:rPr>
  </w:style>
  <w:style w:type="paragraph" w:customStyle="1" w:styleId="Gvdemetni20">
    <w:name w:val="Gövde metni (2)"/>
    <w:basedOn w:val="Normal"/>
    <w:link w:val="Gvdemetni2"/>
    <w:rsid w:val="0015168E"/>
    <w:pPr>
      <w:shd w:val="clear" w:color="auto" w:fill="FFFFFF"/>
      <w:spacing w:line="0" w:lineRule="atLeast"/>
    </w:pPr>
    <w:rPr>
      <w:rFonts w:ascii="Times New Roman" w:eastAsia="Times New Roman" w:hAnsi="Times New Roman" w:cs="Times New Roman"/>
      <w:b/>
      <w:bCs/>
      <w:sz w:val="20"/>
      <w:szCs w:val="20"/>
    </w:rPr>
  </w:style>
  <w:style w:type="paragraph" w:customStyle="1" w:styleId="Gvdemetni30">
    <w:name w:val="Gövde metni (3)"/>
    <w:basedOn w:val="Normal"/>
    <w:link w:val="Gvdemetni3"/>
    <w:rsid w:val="0015168E"/>
    <w:pPr>
      <w:shd w:val="clear" w:color="auto" w:fill="FFFFFF"/>
      <w:spacing w:line="274" w:lineRule="exact"/>
      <w:jc w:val="both"/>
    </w:pPr>
    <w:rPr>
      <w:rFonts w:ascii="Times New Roman" w:eastAsia="Times New Roman" w:hAnsi="Times New Roman" w:cs="Times New Roman"/>
      <w:sz w:val="18"/>
      <w:szCs w:val="18"/>
    </w:rPr>
  </w:style>
  <w:style w:type="paragraph" w:styleId="stbilgi">
    <w:name w:val="header"/>
    <w:basedOn w:val="Normal"/>
    <w:link w:val="stbilgiChar"/>
    <w:uiPriority w:val="99"/>
    <w:semiHidden/>
    <w:unhideWhenUsed/>
    <w:rsid w:val="000C1B20"/>
    <w:pPr>
      <w:tabs>
        <w:tab w:val="center" w:pos="4536"/>
        <w:tab w:val="right" w:pos="9072"/>
      </w:tabs>
    </w:pPr>
  </w:style>
  <w:style w:type="character" w:customStyle="1" w:styleId="stbilgiChar">
    <w:name w:val="Üstbilgi Char"/>
    <w:basedOn w:val="VarsaylanParagrafYazTipi"/>
    <w:link w:val="stbilgi"/>
    <w:uiPriority w:val="99"/>
    <w:semiHidden/>
    <w:rsid w:val="000C1B20"/>
    <w:rPr>
      <w:color w:val="000000"/>
    </w:rPr>
  </w:style>
  <w:style w:type="paragraph" w:styleId="Altbilgi">
    <w:name w:val="footer"/>
    <w:basedOn w:val="Normal"/>
    <w:link w:val="AltbilgiChar"/>
    <w:uiPriority w:val="99"/>
    <w:semiHidden/>
    <w:unhideWhenUsed/>
    <w:rsid w:val="000C1B20"/>
    <w:pPr>
      <w:tabs>
        <w:tab w:val="center" w:pos="4536"/>
        <w:tab w:val="right" w:pos="9072"/>
      </w:tabs>
    </w:pPr>
  </w:style>
  <w:style w:type="character" w:customStyle="1" w:styleId="AltbilgiChar">
    <w:name w:val="Altbilgi Char"/>
    <w:basedOn w:val="VarsaylanParagrafYazTipi"/>
    <w:link w:val="Altbilgi"/>
    <w:uiPriority w:val="99"/>
    <w:semiHidden/>
    <w:rsid w:val="000C1B20"/>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5086</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TKGM</Company>
  <LinksUpToDate>false</LinksUpToDate>
  <CharactersWithSpaces>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gi2715</dc:creator>
  <cp:lastModifiedBy>tk38553</cp:lastModifiedBy>
  <cp:revision>2</cp:revision>
  <dcterms:created xsi:type="dcterms:W3CDTF">2020-12-01T07:59:00Z</dcterms:created>
  <dcterms:modified xsi:type="dcterms:W3CDTF">2020-12-01T07:59:00Z</dcterms:modified>
</cp:coreProperties>
</file>