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DD8C2" w:themeColor="background2" w:themeShade="E5"/>
  <w:body>
    <w:p w:rsidR="000038A1" w:rsidRDefault="000038A1" w:rsidP="007E4B55">
      <w:pPr>
        <w:pStyle w:val="Gvdemetni0"/>
        <w:shd w:val="clear" w:color="auto" w:fill="auto"/>
        <w:spacing w:after="0" w:line="240" w:lineRule="auto"/>
        <w:ind w:left="142" w:right="706"/>
        <w:jc w:val="both"/>
        <w:rPr>
          <w:rFonts w:asciiTheme="majorHAnsi" w:hAnsiTheme="majorHAnsi"/>
          <w:sz w:val="28"/>
          <w:szCs w:val="28"/>
        </w:rPr>
      </w:pPr>
    </w:p>
    <w:p w:rsidR="00420AA9" w:rsidRDefault="00420AA9" w:rsidP="007E4B55">
      <w:pPr>
        <w:pStyle w:val="Gvdemetni0"/>
        <w:shd w:val="clear" w:color="auto" w:fill="auto"/>
        <w:spacing w:after="0" w:line="240" w:lineRule="auto"/>
        <w:ind w:left="142" w:right="706"/>
        <w:jc w:val="both"/>
        <w:rPr>
          <w:rFonts w:asciiTheme="majorHAnsi" w:hAnsiTheme="majorHAnsi"/>
          <w:sz w:val="28"/>
          <w:szCs w:val="28"/>
        </w:rPr>
      </w:pPr>
    </w:p>
    <w:p w:rsidR="000038A1" w:rsidRDefault="000038A1" w:rsidP="007E4B55">
      <w:pPr>
        <w:pStyle w:val="Gvdemetni0"/>
        <w:shd w:val="clear" w:color="auto" w:fill="auto"/>
        <w:spacing w:after="0" w:line="240" w:lineRule="auto"/>
        <w:ind w:left="142" w:right="706"/>
        <w:jc w:val="both"/>
        <w:rPr>
          <w:rFonts w:asciiTheme="majorHAnsi" w:hAnsiTheme="majorHAnsi"/>
          <w:sz w:val="28"/>
          <w:szCs w:val="28"/>
        </w:rPr>
      </w:pPr>
      <w:r>
        <w:rPr>
          <w:rFonts w:asciiTheme="majorHAnsi" w:hAnsiTheme="majorHAnsi"/>
          <w:sz w:val="28"/>
          <w:szCs w:val="28"/>
        </w:rPr>
        <w:t>DOSYA NO</w:t>
      </w:r>
      <w:r w:rsidR="007E4B55">
        <w:rPr>
          <w:rFonts w:asciiTheme="majorHAnsi" w:hAnsiTheme="majorHAnsi"/>
          <w:sz w:val="28"/>
          <w:szCs w:val="28"/>
        </w:rPr>
        <w:t>: 641</w:t>
      </w:r>
      <w:r>
        <w:rPr>
          <w:rFonts w:asciiTheme="majorHAnsi" w:hAnsiTheme="majorHAnsi"/>
          <w:sz w:val="28"/>
          <w:szCs w:val="28"/>
        </w:rPr>
        <w:t>-04-14-2110</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sidR="00875B66">
        <w:rPr>
          <w:rFonts w:asciiTheme="majorHAnsi" w:hAnsiTheme="majorHAnsi"/>
          <w:sz w:val="28"/>
          <w:szCs w:val="28"/>
        </w:rPr>
        <w:tab/>
      </w:r>
      <w:r>
        <w:rPr>
          <w:rFonts w:asciiTheme="majorHAnsi" w:hAnsiTheme="majorHAnsi"/>
          <w:sz w:val="28"/>
          <w:szCs w:val="28"/>
        </w:rPr>
        <w:t>KARAR NO:100</w:t>
      </w:r>
    </w:p>
    <w:p w:rsidR="000038A1" w:rsidRDefault="000038A1" w:rsidP="007E4B55">
      <w:pPr>
        <w:pStyle w:val="Gvdemetni0"/>
        <w:shd w:val="clear" w:color="auto" w:fill="auto"/>
        <w:spacing w:after="0" w:line="240" w:lineRule="auto"/>
        <w:ind w:left="142" w:right="706"/>
        <w:jc w:val="both"/>
        <w:rPr>
          <w:rFonts w:asciiTheme="majorHAnsi" w:hAnsiTheme="majorHAnsi"/>
          <w:sz w:val="28"/>
          <w:szCs w:val="28"/>
        </w:rPr>
      </w:pPr>
    </w:p>
    <w:p w:rsidR="000038A1" w:rsidRDefault="00ED2320" w:rsidP="007E4B55">
      <w:pPr>
        <w:pStyle w:val="Gvdemetni0"/>
        <w:shd w:val="clear" w:color="auto" w:fill="auto"/>
        <w:spacing w:after="0" w:line="240" w:lineRule="auto"/>
        <w:ind w:left="142" w:right="706"/>
        <w:jc w:val="both"/>
        <w:rPr>
          <w:rFonts w:asciiTheme="majorHAnsi" w:hAnsiTheme="majorHAnsi"/>
          <w:sz w:val="28"/>
          <w:szCs w:val="28"/>
        </w:rPr>
      </w:pPr>
      <w:r w:rsidRPr="00B10DFE">
        <w:rPr>
          <w:rFonts w:asciiTheme="majorHAnsi" w:hAnsiTheme="majorHAnsi"/>
          <w:sz w:val="28"/>
          <w:szCs w:val="28"/>
        </w:rPr>
        <w:t>T.C.</w:t>
      </w:r>
    </w:p>
    <w:p w:rsidR="000038A1" w:rsidRDefault="00ED2320" w:rsidP="007E4B55">
      <w:pPr>
        <w:pStyle w:val="Gvdemetni0"/>
        <w:shd w:val="clear" w:color="auto" w:fill="auto"/>
        <w:spacing w:after="0" w:line="240" w:lineRule="auto"/>
        <w:ind w:left="142" w:right="706"/>
        <w:jc w:val="both"/>
        <w:rPr>
          <w:rFonts w:asciiTheme="majorHAnsi" w:hAnsiTheme="majorHAnsi"/>
          <w:sz w:val="28"/>
          <w:szCs w:val="28"/>
        </w:rPr>
      </w:pPr>
      <w:r w:rsidRPr="00B10DFE">
        <w:rPr>
          <w:rFonts w:asciiTheme="majorHAnsi" w:hAnsiTheme="majorHAnsi"/>
          <w:sz w:val="28"/>
          <w:szCs w:val="28"/>
        </w:rPr>
        <w:t>BALIKESİR</w:t>
      </w:r>
    </w:p>
    <w:p w:rsidR="00E909B8" w:rsidRPr="00B10DFE" w:rsidRDefault="00ED2320" w:rsidP="007E4B55">
      <w:pPr>
        <w:pStyle w:val="Gvdemetni0"/>
        <w:shd w:val="clear" w:color="auto" w:fill="auto"/>
        <w:spacing w:after="0" w:line="240" w:lineRule="auto"/>
        <w:ind w:left="142" w:right="706"/>
        <w:jc w:val="both"/>
        <w:rPr>
          <w:rFonts w:asciiTheme="majorHAnsi" w:hAnsiTheme="majorHAnsi"/>
          <w:sz w:val="28"/>
          <w:szCs w:val="28"/>
        </w:rPr>
      </w:pPr>
      <w:r w:rsidRPr="00B10DFE">
        <w:rPr>
          <w:rFonts w:asciiTheme="majorHAnsi" w:hAnsiTheme="majorHAnsi"/>
          <w:sz w:val="28"/>
          <w:szCs w:val="28"/>
        </w:rPr>
        <w:t>İDARE MAHKEMESİ</w:t>
      </w:r>
    </w:p>
    <w:p w:rsidR="00990459" w:rsidRDefault="00ED2320" w:rsidP="007E4B55">
      <w:pPr>
        <w:pStyle w:val="Gvdemetni0"/>
        <w:shd w:val="clear" w:color="auto" w:fill="auto"/>
        <w:spacing w:after="0" w:line="240" w:lineRule="auto"/>
        <w:ind w:left="142" w:right="706"/>
        <w:jc w:val="both"/>
        <w:rPr>
          <w:rFonts w:asciiTheme="majorHAnsi" w:hAnsiTheme="majorHAnsi"/>
          <w:sz w:val="28"/>
          <w:szCs w:val="28"/>
        </w:rPr>
      </w:pPr>
      <w:r w:rsidRPr="00B10DFE">
        <w:rPr>
          <w:rFonts w:asciiTheme="majorHAnsi" w:hAnsiTheme="majorHAnsi"/>
          <w:sz w:val="28"/>
          <w:szCs w:val="28"/>
        </w:rPr>
        <w:t xml:space="preserve">Esas </w:t>
      </w:r>
      <w:r w:rsidR="000038A1" w:rsidRPr="00B10DFE">
        <w:rPr>
          <w:rFonts w:asciiTheme="majorHAnsi" w:hAnsiTheme="majorHAnsi"/>
          <w:sz w:val="28"/>
          <w:szCs w:val="28"/>
        </w:rPr>
        <w:t>No:</w:t>
      </w:r>
      <w:r w:rsidRPr="00B10DFE">
        <w:rPr>
          <w:rFonts w:asciiTheme="majorHAnsi" w:hAnsiTheme="majorHAnsi"/>
          <w:sz w:val="28"/>
          <w:szCs w:val="28"/>
        </w:rPr>
        <w:t xml:space="preserve"> 2014/407</w:t>
      </w:r>
    </w:p>
    <w:p w:rsidR="000038A1" w:rsidRDefault="000038A1" w:rsidP="007E4B55">
      <w:pPr>
        <w:pStyle w:val="Gvdemetni0"/>
        <w:shd w:val="clear" w:color="auto" w:fill="auto"/>
        <w:spacing w:after="0" w:line="240" w:lineRule="auto"/>
        <w:ind w:left="142" w:right="706"/>
        <w:jc w:val="both"/>
        <w:rPr>
          <w:rFonts w:asciiTheme="majorHAnsi" w:hAnsiTheme="majorHAnsi"/>
          <w:sz w:val="28"/>
          <w:szCs w:val="28"/>
        </w:rPr>
      </w:pPr>
    </w:p>
    <w:p w:rsidR="000038A1" w:rsidRDefault="000038A1" w:rsidP="007E4B55">
      <w:pPr>
        <w:pStyle w:val="Gvdemetni0"/>
        <w:shd w:val="clear" w:color="auto" w:fill="auto"/>
        <w:tabs>
          <w:tab w:val="left" w:leader="underscore" w:pos="1567"/>
          <w:tab w:val="left" w:leader="underscore" w:pos="2945"/>
        </w:tabs>
        <w:spacing w:after="0" w:line="240" w:lineRule="auto"/>
        <w:ind w:left="142" w:right="706"/>
        <w:jc w:val="both"/>
        <w:rPr>
          <w:rFonts w:asciiTheme="majorHAnsi" w:hAnsiTheme="majorHAnsi"/>
          <w:sz w:val="28"/>
          <w:szCs w:val="28"/>
        </w:rPr>
      </w:pPr>
      <w:r w:rsidRPr="00B10DFE">
        <w:rPr>
          <w:rStyle w:val="Gvdemetni1"/>
          <w:rFonts w:asciiTheme="majorHAnsi" w:hAnsiTheme="majorHAnsi"/>
          <w:sz w:val="28"/>
          <w:szCs w:val="28"/>
        </w:rPr>
        <w:t>DAVA</w:t>
      </w:r>
      <w:r>
        <w:rPr>
          <w:rFonts w:asciiTheme="majorHAnsi" w:hAnsiTheme="majorHAnsi"/>
          <w:sz w:val="28"/>
          <w:szCs w:val="28"/>
        </w:rPr>
        <w:t>CI:</w:t>
      </w:r>
    </w:p>
    <w:p w:rsidR="00E909B8" w:rsidRPr="00B10DFE" w:rsidRDefault="000038A1" w:rsidP="007E4B55">
      <w:pPr>
        <w:pStyle w:val="Gvdemetni0"/>
        <w:shd w:val="clear" w:color="auto" w:fill="auto"/>
        <w:tabs>
          <w:tab w:val="left" w:leader="underscore" w:pos="1567"/>
          <w:tab w:val="left" w:leader="underscore" w:pos="2945"/>
        </w:tabs>
        <w:spacing w:after="0" w:line="240" w:lineRule="auto"/>
        <w:ind w:left="142" w:right="706"/>
        <w:jc w:val="both"/>
        <w:rPr>
          <w:rFonts w:asciiTheme="majorHAnsi" w:hAnsiTheme="majorHAnsi"/>
          <w:sz w:val="28"/>
          <w:szCs w:val="28"/>
        </w:rPr>
      </w:pPr>
      <w:r>
        <w:rPr>
          <w:rStyle w:val="Gvdemetni1"/>
          <w:rFonts w:asciiTheme="majorHAnsi" w:hAnsiTheme="majorHAnsi"/>
          <w:sz w:val="28"/>
          <w:szCs w:val="28"/>
        </w:rPr>
        <w:t>DAVALI</w:t>
      </w:r>
      <w:r>
        <w:rPr>
          <w:rFonts w:asciiTheme="majorHAnsi" w:hAnsiTheme="majorHAnsi"/>
          <w:sz w:val="28"/>
          <w:szCs w:val="28"/>
        </w:rPr>
        <w:t xml:space="preserve">_ : </w:t>
      </w:r>
      <w:r w:rsidR="00ED2320" w:rsidRPr="00B10DFE">
        <w:rPr>
          <w:rFonts w:asciiTheme="majorHAnsi" w:hAnsiTheme="majorHAnsi"/>
          <w:sz w:val="28"/>
          <w:szCs w:val="28"/>
        </w:rPr>
        <w:t xml:space="preserve"> Tapu ve Kadastro Genel </w:t>
      </w:r>
      <w:r>
        <w:rPr>
          <w:rFonts w:asciiTheme="majorHAnsi" w:hAnsiTheme="majorHAnsi"/>
          <w:sz w:val="28"/>
          <w:szCs w:val="28"/>
        </w:rPr>
        <w:t xml:space="preserve"> </w:t>
      </w:r>
      <w:r w:rsidR="00ED2320" w:rsidRPr="00B10DFE">
        <w:rPr>
          <w:rFonts w:asciiTheme="majorHAnsi" w:hAnsiTheme="majorHAnsi"/>
          <w:sz w:val="28"/>
          <w:szCs w:val="28"/>
        </w:rPr>
        <w:t>Müdürlüğü</w:t>
      </w:r>
      <w:r>
        <w:rPr>
          <w:rFonts w:asciiTheme="majorHAnsi" w:hAnsiTheme="majorHAnsi"/>
          <w:sz w:val="28"/>
          <w:szCs w:val="28"/>
        </w:rPr>
        <w:t>-ANKARA</w:t>
      </w:r>
    </w:p>
    <w:p w:rsidR="00E909B8" w:rsidRDefault="00ED2320" w:rsidP="007E4B55">
      <w:pPr>
        <w:pStyle w:val="Gvdemetni0"/>
        <w:shd w:val="clear" w:color="auto" w:fill="auto"/>
        <w:tabs>
          <w:tab w:val="left" w:leader="underscore" w:pos="2287"/>
          <w:tab w:val="left" w:leader="underscore" w:pos="2326"/>
          <w:tab w:val="left" w:leader="underscore" w:pos="2945"/>
        </w:tabs>
        <w:spacing w:after="0" w:line="240" w:lineRule="auto"/>
        <w:ind w:left="142" w:right="706"/>
        <w:jc w:val="both"/>
        <w:rPr>
          <w:rFonts w:asciiTheme="majorHAnsi" w:hAnsiTheme="majorHAnsi"/>
          <w:sz w:val="28"/>
          <w:szCs w:val="28"/>
        </w:rPr>
      </w:pPr>
      <w:r w:rsidRPr="00B10DFE">
        <w:rPr>
          <w:rStyle w:val="Gvdemetni1"/>
          <w:rFonts w:asciiTheme="majorHAnsi" w:hAnsiTheme="majorHAnsi"/>
          <w:sz w:val="28"/>
          <w:szCs w:val="28"/>
        </w:rPr>
        <w:t>DAVA</w:t>
      </w:r>
      <w:r w:rsidRPr="00B10DFE">
        <w:rPr>
          <w:rFonts w:asciiTheme="majorHAnsi" w:hAnsiTheme="majorHAnsi"/>
          <w:sz w:val="28"/>
          <w:szCs w:val="28"/>
        </w:rPr>
        <w:t>NI</w:t>
      </w:r>
      <w:r w:rsidRPr="00B10DFE">
        <w:rPr>
          <w:rStyle w:val="Gvdemetni1"/>
          <w:rFonts w:asciiTheme="majorHAnsi" w:hAnsiTheme="majorHAnsi"/>
          <w:sz w:val="28"/>
          <w:szCs w:val="28"/>
        </w:rPr>
        <w:t>N ÖZETİ</w:t>
      </w:r>
      <w:r w:rsidR="000038A1">
        <w:rPr>
          <w:rFonts w:asciiTheme="majorHAnsi" w:hAnsiTheme="majorHAnsi"/>
          <w:sz w:val="28"/>
          <w:szCs w:val="28"/>
        </w:rPr>
        <w:tab/>
      </w:r>
      <w:r w:rsidR="000038A1">
        <w:rPr>
          <w:rFonts w:asciiTheme="majorHAnsi" w:hAnsiTheme="majorHAnsi"/>
          <w:sz w:val="28"/>
          <w:szCs w:val="28"/>
        </w:rPr>
        <w:tab/>
        <w:t xml:space="preserve"> </w:t>
      </w:r>
      <w:r w:rsidR="000500A3">
        <w:rPr>
          <w:rFonts w:asciiTheme="majorHAnsi" w:hAnsiTheme="majorHAnsi"/>
          <w:sz w:val="28"/>
          <w:szCs w:val="28"/>
        </w:rPr>
        <w:t>: …….</w:t>
      </w:r>
      <w:r w:rsidRPr="00B10DFE">
        <w:rPr>
          <w:rFonts w:asciiTheme="majorHAnsi" w:hAnsiTheme="majorHAnsi"/>
          <w:sz w:val="28"/>
          <w:szCs w:val="28"/>
        </w:rPr>
        <w:t xml:space="preserve"> İli, </w:t>
      </w:r>
      <w:r w:rsidR="000500A3">
        <w:rPr>
          <w:rFonts w:asciiTheme="majorHAnsi" w:hAnsiTheme="majorHAnsi"/>
          <w:sz w:val="28"/>
          <w:szCs w:val="28"/>
        </w:rPr>
        <w:t>…… ilçesi, ………</w:t>
      </w:r>
      <w:r w:rsidRPr="00B10DFE">
        <w:rPr>
          <w:rFonts w:asciiTheme="majorHAnsi" w:hAnsiTheme="majorHAnsi"/>
          <w:sz w:val="28"/>
          <w:szCs w:val="28"/>
        </w:rPr>
        <w:t xml:space="preserve"> Köyü, 4407 sayılı parsel</w:t>
      </w:r>
      <w:r w:rsidR="000038A1">
        <w:rPr>
          <w:rFonts w:asciiTheme="majorHAnsi" w:hAnsiTheme="majorHAnsi"/>
          <w:sz w:val="28"/>
          <w:szCs w:val="28"/>
        </w:rPr>
        <w:t xml:space="preserve"> </w:t>
      </w:r>
      <w:r w:rsidRPr="00B10DFE">
        <w:rPr>
          <w:rFonts w:asciiTheme="majorHAnsi" w:hAnsiTheme="majorHAnsi"/>
          <w:sz w:val="28"/>
          <w:szCs w:val="28"/>
        </w:rPr>
        <w:t xml:space="preserve">üzerinde yer alan taşınmazın sahibi olan davacı tarafından, aynı Köy, 4395, 4396, 4397, 4398, 4399. 4400. 4401. 4402, 4403, 4404, 4405, 4406, 4407, 4408, 4409, 4410, 4411, 4412 </w:t>
      </w:r>
      <w:r w:rsidRPr="00B10DFE">
        <w:rPr>
          <w:rStyle w:val="GvdemetniKaln"/>
          <w:rFonts w:asciiTheme="majorHAnsi" w:hAnsiTheme="majorHAnsi"/>
          <w:b w:val="0"/>
          <w:sz w:val="28"/>
          <w:szCs w:val="28"/>
        </w:rPr>
        <w:t>ve</w:t>
      </w:r>
      <w:r w:rsidRPr="00B10DFE">
        <w:rPr>
          <w:rFonts w:asciiTheme="majorHAnsi" w:hAnsiTheme="majorHAnsi"/>
          <w:sz w:val="28"/>
          <w:szCs w:val="28"/>
        </w:rPr>
        <w:t xml:space="preserve"> 4413 sayılı parseller üzerinde inşa edilen ve kat mülkiyeti kurulu bulunan 38 bağımsız bolüme ilişkin yönetim planında yapılan 02/08/2013 tarihli değişikliğin tapu siciline t</w:t>
      </w:r>
      <w:r w:rsidR="000500A3">
        <w:rPr>
          <w:rFonts w:asciiTheme="majorHAnsi" w:hAnsiTheme="majorHAnsi"/>
          <w:sz w:val="28"/>
          <w:szCs w:val="28"/>
        </w:rPr>
        <w:t>ecsciline ilişkin ……..</w:t>
      </w:r>
      <w:r w:rsidR="000038A1">
        <w:rPr>
          <w:rFonts w:asciiTheme="majorHAnsi" w:hAnsiTheme="majorHAnsi"/>
          <w:sz w:val="28"/>
          <w:szCs w:val="28"/>
        </w:rPr>
        <w:t xml:space="preserve"> Tapu Müdürlü</w:t>
      </w:r>
      <w:r w:rsidRPr="00B10DFE">
        <w:rPr>
          <w:rFonts w:asciiTheme="majorHAnsi" w:hAnsiTheme="majorHAnsi"/>
          <w:sz w:val="28"/>
          <w:szCs w:val="28"/>
        </w:rPr>
        <w:t>ğü'nün 11/10/2013 tarih ve 2074 sayılı işleminin; hukuka aykırı olduğu, mülkiyet hakkının ihlal edildiği, tapu sicilinin isteği dışında bozulduğu ileri sürülerek iptali istenilmektedir.</w:t>
      </w:r>
    </w:p>
    <w:p w:rsidR="000038A1" w:rsidRPr="00B10DFE" w:rsidRDefault="000038A1" w:rsidP="007E4B55">
      <w:pPr>
        <w:pStyle w:val="Gvdemetni0"/>
        <w:shd w:val="clear" w:color="auto" w:fill="auto"/>
        <w:tabs>
          <w:tab w:val="left" w:leader="underscore" w:pos="2287"/>
          <w:tab w:val="left" w:leader="underscore" w:pos="2326"/>
          <w:tab w:val="left" w:leader="underscore" w:pos="2945"/>
        </w:tabs>
        <w:spacing w:after="0" w:line="240" w:lineRule="auto"/>
        <w:ind w:left="142" w:right="706"/>
        <w:jc w:val="both"/>
        <w:rPr>
          <w:rFonts w:asciiTheme="majorHAnsi" w:hAnsiTheme="majorHAnsi"/>
          <w:sz w:val="28"/>
          <w:szCs w:val="28"/>
        </w:rPr>
      </w:pPr>
    </w:p>
    <w:p w:rsidR="00E909B8" w:rsidRDefault="00ED2320" w:rsidP="00875B66">
      <w:pPr>
        <w:pStyle w:val="Gvdemetni0"/>
        <w:shd w:val="clear" w:color="auto" w:fill="auto"/>
        <w:spacing w:after="0" w:line="240" w:lineRule="auto"/>
        <w:ind w:left="2880" w:right="706"/>
        <w:jc w:val="both"/>
        <w:rPr>
          <w:rFonts w:asciiTheme="majorHAnsi" w:hAnsiTheme="majorHAnsi"/>
          <w:sz w:val="28"/>
          <w:szCs w:val="28"/>
        </w:rPr>
      </w:pPr>
      <w:r w:rsidRPr="00B10DFE">
        <w:rPr>
          <w:rFonts w:asciiTheme="majorHAnsi" w:hAnsiTheme="majorHAnsi"/>
          <w:sz w:val="28"/>
          <w:szCs w:val="28"/>
        </w:rPr>
        <w:t>TÜRK MİLLETİ ADINA</w:t>
      </w:r>
    </w:p>
    <w:p w:rsidR="000038A1" w:rsidRPr="00B10DFE" w:rsidRDefault="000038A1" w:rsidP="007E4B55">
      <w:pPr>
        <w:pStyle w:val="Gvdemetni0"/>
        <w:shd w:val="clear" w:color="auto" w:fill="auto"/>
        <w:spacing w:after="0" w:line="240" w:lineRule="auto"/>
        <w:ind w:left="142" w:right="706"/>
        <w:jc w:val="both"/>
        <w:rPr>
          <w:rFonts w:asciiTheme="majorHAnsi" w:hAnsiTheme="majorHAnsi"/>
          <w:sz w:val="28"/>
          <w:szCs w:val="28"/>
        </w:rPr>
      </w:pPr>
    </w:p>
    <w:p w:rsidR="00E909B8" w:rsidRDefault="00ED2320" w:rsidP="007E4B55">
      <w:pPr>
        <w:pStyle w:val="Gvdemetni0"/>
        <w:shd w:val="clear" w:color="auto" w:fill="auto"/>
        <w:spacing w:after="0" w:line="240" w:lineRule="auto"/>
        <w:ind w:left="142" w:right="706"/>
        <w:jc w:val="both"/>
        <w:rPr>
          <w:rFonts w:asciiTheme="majorHAnsi" w:hAnsiTheme="majorHAnsi"/>
          <w:sz w:val="28"/>
          <w:szCs w:val="28"/>
        </w:rPr>
      </w:pPr>
      <w:r w:rsidRPr="00B10DFE">
        <w:rPr>
          <w:rFonts w:asciiTheme="majorHAnsi" w:hAnsiTheme="majorHAnsi"/>
          <w:sz w:val="28"/>
          <w:szCs w:val="28"/>
        </w:rPr>
        <w:t>Karar veren Balıkesir İdare Mahkemesince dava dilekçesi ve ekleri 2577 sayılı idari Yargılama Usulü Kanununun 14. maddesi uyarınca incelendikten sonra aynı Kanunun 15/3-c. ma</w:t>
      </w:r>
      <w:r w:rsidR="000500A3">
        <w:rPr>
          <w:rFonts w:asciiTheme="majorHAnsi" w:hAnsiTheme="majorHAnsi"/>
          <w:sz w:val="28"/>
          <w:szCs w:val="28"/>
        </w:rPr>
        <w:t>ddesi uyarınca ……</w:t>
      </w:r>
      <w:r w:rsidR="000038A1">
        <w:rPr>
          <w:rFonts w:asciiTheme="majorHAnsi" w:hAnsiTheme="majorHAnsi"/>
          <w:sz w:val="28"/>
          <w:szCs w:val="28"/>
        </w:rPr>
        <w:t xml:space="preserve"> Tapu Müdürlüğü'nü</w:t>
      </w:r>
      <w:r w:rsidRPr="00B10DFE">
        <w:rPr>
          <w:rFonts w:asciiTheme="majorHAnsi" w:hAnsiTheme="majorHAnsi"/>
          <w:sz w:val="28"/>
          <w:szCs w:val="28"/>
        </w:rPr>
        <w:t>n hasım mevkiinden çıkartılarak TC Başbakanlık</w:t>
      </w:r>
      <w:r w:rsidR="000038A1">
        <w:rPr>
          <w:rFonts w:asciiTheme="majorHAnsi" w:hAnsiTheme="majorHAnsi"/>
          <w:sz w:val="28"/>
          <w:szCs w:val="28"/>
        </w:rPr>
        <w:t xml:space="preserve"> Tapu ve Kadastro Genel Müdürlü</w:t>
      </w:r>
      <w:r w:rsidRPr="00B10DFE">
        <w:rPr>
          <w:rFonts w:asciiTheme="majorHAnsi" w:hAnsiTheme="majorHAnsi"/>
          <w:sz w:val="28"/>
          <w:szCs w:val="28"/>
        </w:rPr>
        <w:t>ğü'nün hasım mevkiine alınmak suretiyle işin gereği görüşüldü.</w:t>
      </w:r>
    </w:p>
    <w:p w:rsidR="000038A1" w:rsidRPr="00B10DFE" w:rsidRDefault="000038A1" w:rsidP="007E4B55">
      <w:pPr>
        <w:pStyle w:val="Gvdemetni0"/>
        <w:shd w:val="clear" w:color="auto" w:fill="auto"/>
        <w:spacing w:after="0" w:line="240" w:lineRule="auto"/>
        <w:ind w:left="142" w:right="706"/>
        <w:jc w:val="both"/>
        <w:rPr>
          <w:rFonts w:asciiTheme="majorHAnsi" w:hAnsiTheme="majorHAnsi"/>
          <w:sz w:val="28"/>
          <w:szCs w:val="28"/>
        </w:rPr>
      </w:pPr>
    </w:p>
    <w:p w:rsidR="00E909B8" w:rsidRDefault="00ED2320" w:rsidP="007E4B55">
      <w:pPr>
        <w:pStyle w:val="Gvdemetni0"/>
        <w:shd w:val="clear" w:color="auto" w:fill="auto"/>
        <w:spacing w:after="0" w:line="240" w:lineRule="auto"/>
        <w:ind w:left="142" w:right="706"/>
        <w:jc w:val="both"/>
        <w:rPr>
          <w:rFonts w:asciiTheme="majorHAnsi" w:hAnsiTheme="majorHAnsi"/>
          <w:sz w:val="28"/>
          <w:szCs w:val="28"/>
        </w:rPr>
      </w:pPr>
      <w:r w:rsidRPr="00B10DFE">
        <w:rPr>
          <w:rFonts w:asciiTheme="majorHAnsi" w:hAnsiTheme="majorHAnsi"/>
          <w:sz w:val="28"/>
          <w:szCs w:val="28"/>
        </w:rPr>
        <w:t>2577 sayılı İdari Yargılama Usulü Kanununun 14. Maddesinin 3.bendinde, dava dilekçelerinin görev ve yetki, idari merci tecavüzü, ehliyet, idari davaya konu olacak kesin ve yürütülmesi gereken bir</w:t>
      </w:r>
      <w:r w:rsidR="000038A1">
        <w:rPr>
          <w:rFonts w:asciiTheme="majorHAnsi" w:hAnsiTheme="majorHAnsi"/>
          <w:sz w:val="28"/>
          <w:szCs w:val="28"/>
        </w:rPr>
        <w:t xml:space="preserve"> işlem olup olmadığı, süre aşımı</w:t>
      </w:r>
      <w:r w:rsidRPr="00B10DFE">
        <w:rPr>
          <w:rFonts w:asciiTheme="majorHAnsi" w:hAnsiTheme="majorHAnsi"/>
          <w:sz w:val="28"/>
          <w:szCs w:val="28"/>
        </w:rPr>
        <w:t xml:space="preserve">, husumet ve 3 ve 5. Maddelere </w:t>
      </w:r>
      <w:r w:rsidRPr="00B10DFE">
        <w:rPr>
          <w:rStyle w:val="Gvdemetni1ptbolukbraklyor"/>
          <w:rFonts w:asciiTheme="majorHAnsi" w:hAnsiTheme="majorHAnsi"/>
          <w:sz w:val="28"/>
          <w:szCs w:val="28"/>
        </w:rPr>
        <w:t>uygun</w:t>
      </w:r>
      <w:r w:rsidRPr="00B10DFE">
        <w:rPr>
          <w:rFonts w:asciiTheme="majorHAnsi" w:hAnsiTheme="majorHAnsi"/>
          <w:sz w:val="28"/>
          <w:szCs w:val="28"/>
        </w:rPr>
        <w:t xml:space="preserve"> olup olmadıkları yönlerinden sırasıyla incelenerek, aynı Kanunun 15.maddesinin l</w:t>
      </w:r>
      <w:r w:rsidRPr="00B10DFE">
        <w:rPr>
          <w:rStyle w:val="Gvdemetni1ptbolukbraklyor"/>
          <w:rFonts w:asciiTheme="majorHAnsi" w:hAnsiTheme="majorHAnsi"/>
          <w:sz w:val="28"/>
          <w:szCs w:val="28"/>
        </w:rPr>
        <w:t xml:space="preserve">/a </w:t>
      </w:r>
      <w:r w:rsidRPr="00B10DFE">
        <w:rPr>
          <w:rFonts w:asciiTheme="majorHAnsi" w:hAnsiTheme="majorHAnsi"/>
          <w:sz w:val="28"/>
          <w:szCs w:val="28"/>
        </w:rPr>
        <w:t xml:space="preserve">bendinde ise adli yargının görevli olduğu konularda, açılan davanın görev yönünden reddine </w:t>
      </w:r>
      <w:r w:rsidRPr="00B10DFE">
        <w:rPr>
          <w:rStyle w:val="Gvdemetni1ptbolukbraklyor"/>
          <w:rFonts w:asciiTheme="majorHAnsi" w:hAnsiTheme="majorHAnsi"/>
          <w:sz w:val="28"/>
          <w:szCs w:val="28"/>
        </w:rPr>
        <w:t>karar</w:t>
      </w:r>
      <w:r w:rsidRPr="00B10DFE">
        <w:rPr>
          <w:rFonts w:asciiTheme="majorHAnsi" w:hAnsiTheme="majorHAnsi"/>
          <w:sz w:val="28"/>
          <w:szCs w:val="28"/>
        </w:rPr>
        <w:t xml:space="preserve"> verileceği belirtilmiştir.</w:t>
      </w:r>
    </w:p>
    <w:p w:rsidR="000038A1" w:rsidRPr="00B10DFE" w:rsidRDefault="000038A1" w:rsidP="007E4B55">
      <w:pPr>
        <w:pStyle w:val="Gvdemetni0"/>
        <w:shd w:val="clear" w:color="auto" w:fill="auto"/>
        <w:spacing w:after="0" w:line="240" w:lineRule="auto"/>
        <w:ind w:left="142" w:right="706"/>
        <w:jc w:val="both"/>
        <w:rPr>
          <w:rFonts w:asciiTheme="majorHAnsi" w:hAnsiTheme="majorHAnsi"/>
          <w:sz w:val="28"/>
          <w:szCs w:val="28"/>
        </w:rPr>
      </w:pPr>
    </w:p>
    <w:p w:rsidR="00E909B8" w:rsidRDefault="00ED2320" w:rsidP="00875B66">
      <w:pPr>
        <w:pStyle w:val="Gvdemetni0"/>
        <w:shd w:val="clear" w:color="auto" w:fill="auto"/>
        <w:spacing w:after="0" w:line="240" w:lineRule="auto"/>
        <w:ind w:left="142" w:right="706"/>
        <w:jc w:val="both"/>
        <w:rPr>
          <w:rFonts w:asciiTheme="majorHAnsi" w:hAnsiTheme="majorHAnsi"/>
          <w:sz w:val="28"/>
          <w:szCs w:val="28"/>
        </w:rPr>
      </w:pPr>
      <w:r w:rsidRPr="00B10DFE">
        <w:rPr>
          <w:rFonts w:asciiTheme="majorHAnsi" w:hAnsiTheme="majorHAnsi"/>
          <w:sz w:val="28"/>
          <w:szCs w:val="28"/>
        </w:rPr>
        <w:t xml:space="preserve">23/06/1965 tarih ve 634 sayılı Kat Mülkiyeti Kanununun Görevli Mahkeme başlıklı </w:t>
      </w:r>
      <w:r w:rsidR="00420AA9">
        <w:rPr>
          <w:sz w:val="28"/>
          <w:szCs w:val="28"/>
        </w:rPr>
        <w:t>ek</w:t>
      </w:r>
      <w:r w:rsidRPr="00B10DFE">
        <w:rPr>
          <w:rFonts w:asciiTheme="majorHAnsi" w:hAnsiTheme="majorHAnsi"/>
          <w:sz w:val="28"/>
          <w:szCs w:val="28"/>
        </w:rPr>
        <w:t xml:space="preserve"> 1. maddesinde: bu Kanunun uygulanmasından doğacak her türlü anlaşmazlık sulh mahkemelerinde çözümleneceği kuralı yer almaktadır.</w:t>
      </w:r>
    </w:p>
    <w:p w:rsidR="00420AA9" w:rsidRDefault="00420AA9" w:rsidP="007E4B55">
      <w:pPr>
        <w:pStyle w:val="Gvdemetni0"/>
        <w:shd w:val="clear" w:color="auto" w:fill="auto"/>
        <w:spacing w:after="0" w:line="240" w:lineRule="auto"/>
        <w:ind w:left="142" w:right="706"/>
        <w:jc w:val="both"/>
        <w:rPr>
          <w:rFonts w:asciiTheme="majorHAnsi" w:hAnsiTheme="majorHAnsi"/>
          <w:sz w:val="28"/>
          <w:szCs w:val="28"/>
        </w:rPr>
      </w:pPr>
    </w:p>
    <w:p w:rsidR="00420AA9" w:rsidRDefault="00ED2320" w:rsidP="007E4B55">
      <w:pPr>
        <w:pStyle w:val="Gvdemetni0"/>
        <w:shd w:val="clear" w:color="auto" w:fill="auto"/>
        <w:spacing w:after="0" w:line="240" w:lineRule="auto"/>
        <w:ind w:left="142" w:right="706" w:firstLine="578"/>
        <w:jc w:val="both"/>
        <w:rPr>
          <w:rFonts w:asciiTheme="majorHAnsi" w:hAnsiTheme="majorHAnsi"/>
          <w:sz w:val="28"/>
          <w:szCs w:val="28"/>
        </w:rPr>
      </w:pPr>
      <w:r w:rsidRPr="00B10DFE">
        <w:rPr>
          <w:rFonts w:asciiTheme="majorHAnsi" w:hAnsiTheme="majorHAnsi"/>
          <w:sz w:val="28"/>
          <w:szCs w:val="28"/>
        </w:rPr>
        <w:t>Dava dilekçesinin ve Mahkememiz</w:t>
      </w:r>
      <w:r w:rsidR="00420AA9">
        <w:rPr>
          <w:rFonts w:asciiTheme="majorHAnsi" w:hAnsiTheme="majorHAnsi"/>
          <w:sz w:val="28"/>
          <w:szCs w:val="28"/>
        </w:rPr>
        <w:t>in 02/04/2014 tarihli ara kararın</w:t>
      </w:r>
      <w:r w:rsidRPr="00B10DFE">
        <w:rPr>
          <w:rFonts w:asciiTheme="majorHAnsi" w:hAnsiTheme="majorHAnsi"/>
          <w:sz w:val="28"/>
          <w:szCs w:val="28"/>
        </w:rPr>
        <w:t xml:space="preserve">a </w:t>
      </w:r>
      <w:r w:rsidR="000500A3">
        <w:rPr>
          <w:rFonts w:asciiTheme="majorHAnsi" w:hAnsiTheme="majorHAnsi"/>
          <w:sz w:val="28"/>
          <w:szCs w:val="28"/>
        </w:rPr>
        <w:t xml:space="preserve"> ……</w:t>
      </w:r>
      <w:r w:rsidR="00420AA9">
        <w:rPr>
          <w:rFonts w:asciiTheme="majorHAnsi" w:hAnsiTheme="majorHAnsi"/>
          <w:sz w:val="28"/>
          <w:szCs w:val="28"/>
        </w:rPr>
        <w:t xml:space="preserve"> Tapu </w:t>
      </w:r>
      <w:r w:rsidR="00135F42">
        <w:rPr>
          <w:rFonts w:asciiTheme="majorHAnsi" w:hAnsiTheme="majorHAnsi"/>
          <w:sz w:val="28"/>
          <w:szCs w:val="28"/>
        </w:rPr>
        <w:t xml:space="preserve"> </w:t>
      </w:r>
      <w:r w:rsidR="00420AA9">
        <w:rPr>
          <w:rFonts w:asciiTheme="majorHAnsi" w:hAnsiTheme="majorHAnsi"/>
          <w:sz w:val="28"/>
          <w:szCs w:val="28"/>
        </w:rPr>
        <w:t xml:space="preserve">Müdürlüğünce </w:t>
      </w:r>
      <w:r w:rsidRPr="00B10DFE">
        <w:rPr>
          <w:rFonts w:asciiTheme="majorHAnsi" w:hAnsiTheme="majorHAnsi"/>
          <w:sz w:val="28"/>
          <w:szCs w:val="28"/>
        </w:rPr>
        <w:t xml:space="preserve"> gönderilen bilgi ve belgelerin</w:t>
      </w:r>
      <w:r w:rsidR="007E4B55">
        <w:rPr>
          <w:rFonts w:asciiTheme="majorHAnsi" w:hAnsiTheme="majorHAnsi"/>
          <w:sz w:val="28"/>
          <w:szCs w:val="28"/>
        </w:rPr>
        <w:t xml:space="preserve"> </w:t>
      </w:r>
      <w:r w:rsidRPr="00B10DFE">
        <w:rPr>
          <w:rFonts w:asciiTheme="majorHAnsi" w:hAnsiTheme="majorHAnsi"/>
          <w:sz w:val="28"/>
          <w:szCs w:val="28"/>
        </w:rPr>
        <w:t>birlikte incelenmesinden,</w:t>
      </w:r>
    </w:p>
    <w:p w:rsidR="007E4B55" w:rsidRDefault="000500A3" w:rsidP="007E4B55">
      <w:pPr>
        <w:pStyle w:val="Gvdemetni0"/>
        <w:shd w:val="clear" w:color="auto" w:fill="auto"/>
        <w:spacing w:after="0" w:line="240" w:lineRule="auto"/>
        <w:ind w:left="142" w:right="706"/>
        <w:jc w:val="both"/>
        <w:rPr>
          <w:rFonts w:asciiTheme="majorHAnsi" w:hAnsiTheme="majorHAnsi"/>
          <w:sz w:val="28"/>
          <w:szCs w:val="28"/>
        </w:rPr>
      </w:pPr>
      <w:r>
        <w:rPr>
          <w:rFonts w:asciiTheme="majorHAnsi" w:hAnsiTheme="majorHAnsi"/>
          <w:sz w:val="28"/>
          <w:szCs w:val="28"/>
        </w:rPr>
        <w:t>…… ili ….. İlçesi, ……</w:t>
      </w:r>
      <w:r w:rsidR="00ED2320" w:rsidRPr="00B10DFE">
        <w:rPr>
          <w:rFonts w:asciiTheme="majorHAnsi" w:hAnsiTheme="majorHAnsi"/>
          <w:sz w:val="28"/>
          <w:szCs w:val="28"/>
        </w:rPr>
        <w:t xml:space="preserve"> Köyü. 4395. 4396, 4397. 4398, 4399, 4400, 4401, 4402. 4403, 4404. 4405. -¡406. 4407. 4408, 4409, 4410. 4411. 4412 ve 4413 sayılı parseller üzerinde inşa edilen 38 bağımsız bölüm hakkında kat mülkiyeti kurulduğu, 1 1/05/2006 tarihinde ibraz edilen yönetim planı uyarınca </w:t>
      </w:r>
    </w:p>
    <w:p w:rsidR="007E4B55" w:rsidRDefault="007E4B55" w:rsidP="007E4B55">
      <w:pPr>
        <w:pStyle w:val="Gvdemetni0"/>
        <w:shd w:val="clear" w:color="auto" w:fill="auto"/>
        <w:spacing w:after="0" w:line="240" w:lineRule="auto"/>
        <w:ind w:left="142" w:right="706"/>
        <w:jc w:val="both"/>
        <w:rPr>
          <w:rFonts w:asciiTheme="majorHAnsi" w:hAnsiTheme="majorHAnsi"/>
          <w:sz w:val="28"/>
          <w:szCs w:val="28"/>
        </w:rPr>
      </w:pPr>
    </w:p>
    <w:p w:rsidR="007E4B55" w:rsidRDefault="007E4B55" w:rsidP="007E4B55">
      <w:pPr>
        <w:pStyle w:val="Gvdemetni0"/>
        <w:shd w:val="clear" w:color="auto" w:fill="auto"/>
        <w:spacing w:after="0" w:line="240" w:lineRule="auto"/>
        <w:ind w:left="142" w:right="706"/>
        <w:jc w:val="both"/>
        <w:rPr>
          <w:rFonts w:asciiTheme="majorHAnsi" w:hAnsiTheme="majorHAnsi"/>
          <w:sz w:val="28"/>
          <w:szCs w:val="28"/>
        </w:rPr>
      </w:pPr>
    </w:p>
    <w:p w:rsidR="007E4B55" w:rsidRDefault="007E4B55" w:rsidP="007E4B55">
      <w:pPr>
        <w:pStyle w:val="Gvdemetni0"/>
        <w:shd w:val="clear" w:color="auto" w:fill="auto"/>
        <w:spacing w:after="0" w:line="240" w:lineRule="auto"/>
        <w:ind w:left="142" w:right="706"/>
        <w:jc w:val="both"/>
        <w:rPr>
          <w:rFonts w:asciiTheme="majorHAnsi" w:hAnsiTheme="majorHAnsi"/>
          <w:sz w:val="28"/>
          <w:szCs w:val="28"/>
        </w:rPr>
      </w:pPr>
    </w:p>
    <w:p w:rsidR="00E909B8" w:rsidRDefault="00ED2320" w:rsidP="007E4B55">
      <w:pPr>
        <w:pStyle w:val="Gvdemetni0"/>
        <w:shd w:val="clear" w:color="auto" w:fill="auto"/>
        <w:spacing w:after="0" w:line="240" w:lineRule="auto"/>
        <w:ind w:left="142" w:right="706"/>
        <w:jc w:val="both"/>
        <w:rPr>
          <w:rFonts w:asciiTheme="majorHAnsi" w:hAnsiTheme="majorHAnsi"/>
          <w:sz w:val="28"/>
          <w:szCs w:val="28"/>
        </w:rPr>
      </w:pPr>
      <w:r w:rsidRPr="00B10DFE">
        <w:rPr>
          <w:rFonts w:asciiTheme="majorHAnsi" w:hAnsiTheme="majorHAnsi"/>
          <w:sz w:val="28"/>
          <w:szCs w:val="28"/>
        </w:rPr>
        <w:t xml:space="preserve">15/05/2006 tarihinde tapuya </w:t>
      </w:r>
      <w:r w:rsidR="00420AA9">
        <w:rPr>
          <w:rFonts w:asciiTheme="majorHAnsi" w:hAnsiTheme="majorHAnsi"/>
          <w:sz w:val="28"/>
          <w:szCs w:val="28"/>
        </w:rPr>
        <w:t>tescil edildiği, kat maliklerinc</w:t>
      </w:r>
      <w:r w:rsidRPr="00B10DFE">
        <w:rPr>
          <w:rFonts w:asciiTheme="majorHAnsi" w:hAnsiTheme="majorHAnsi"/>
          <w:sz w:val="28"/>
          <w:szCs w:val="28"/>
        </w:rPr>
        <w:t xml:space="preserve">e </w:t>
      </w:r>
      <w:r w:rsidRPr="00B10DFE">
        <w:rPr>
          <w:rStyle w:val="Gvdemetni1ptbolukbraklyor"/>
          <w:rFonts w:asciiTheme="majorHAnsi" w:hAnsiTheme="majorHAnsi"/>
          <w:sz w:val="28"/>
          <w:szCs w:val="28"/>
        </w:rPr>
        <w:t>02/08</w:t>
      </w:r>
      <w:r w:rsidRPr="00B10DFE">
        <w:rPr>
          <w:rFonts w:asciiTheme="majorHAnsi" w:hAnsiTheme="majorHAnsi"/>
          <w:sz w:val="28"/>
          <w:szCs w:val="28"/>
        </w:rPr>
        <w:t>/2013 tarihinde yapılan 7. Genel Kurul toplantısında yönetim planı değişikliği yapılmasının kararlaştırıldığı, bu durumun tapu siciline tescili için</w:t>
      </w:r>
      <w:r w:rsidR="00420AA9">
        <w:rPr>
          <w:rFonts w:asciiTheme="majorHAnsi" w:hAnsiTheme="majorHAnsi"/>
          <w:sz w:val="28"/>
          <w:szCs w:val="28"/>
        </w:rPr>
        <w:t xml:space="preserve"> Oksijenli Yaşam Sitesi Yönetim</w:t>
      </w:r>
      <w:r w:rsidRPr="00B10DFE">
        <w:rPr>
          <w:rFonts w:asciiTheme="majorHAnsi" w:hAnsiTheme="majorHAnsi"/>
          <w:sz w:val="28"/>
          <w:szCs w:val="28"/>
        </w:rPr>
        <w:t xml:space="preserve"> Kurulu Başkanı tarafından yapılan 13/08/2013 tarihli başvurusu sonucunda dava </w:t>
      </w:r>
      <w:r w:rsidRPr="00B10DFE">
        <w:rPr>
          <w:rStyle w:val="Gvdemetni1ptbolukbraklyor"/>
          <w:rFonts w:asciiTheme="majorHAnsi" w:hAnsiTheme="majorHAnsi"/>
          <w:sz w:val="28"/>
          <w:szCs w:val="28"/>
        </w:rPr>
        <w:t>konusu</w:t>
      </w:r>
      <w:r w:rsidRPr="00B10DFE">
        <w:rPr>
          <w:rFonts w:asciiTheme="majorHAnsi" w:hAnsiTheme="majorHAnsi"/>
          <w:sz w:val="28"/>
          <w:szCs w:val="28"/>
        </w:rPr>
        <w:t xml:space="preserve"> 11 10/2013 tarih ve 2074 sayılı işlem ile "yönetim planı değişikliğinin </w:t>
      </w:r>
      <w:r w:rsidR="00420AA9">
        <w:rPr>
          <w:rFonts w:asciiTheme="majorHAnsi" w:hAnsiTheme="majorHAnsi"/>
          <w:sz w:val="28"/>
          <w:szCs w:val="28"/>
        </w:rPr>
        <w:t>tapu siciline t</w:t>
      </w:r>
      <w:r w:rsidRPr="00B10DFE">
        <w:rPr>
          <w:rFonts w:asciiTheme="majorHAnsi" w:hAnsiTheme="majorHAnsi"/>
          <w:sz w:val="28"/>
          <w:szCs w:val="28"/>
        </w:rPr>
        <w:t>escil edildiği, dava konusu işlemle yapılan tescile davacının 11/10/2013 tar</w:t>
      </w:r>
      <w:r w:rsidR="00420AA9">
        <w:rPr>
          <w:rFonts w:asciiTheme="majorHAnsi" w:hAnsiTheme="majorHAnsi"/>
          <w:sz w:val="28"/>
          <w:szCs w:val="28"/>
        </w:rPr>
        <w:t>ihli dilekçesiyîe itiraz ettiği,</w:t>
      </w:r>
      <w:r w:rsidRPr="00B10DFE">
        <w:rPr>
          <w:rFonts w:asciiTheme="majorHAnsi" w:hAnsiTheme="majorHAnsi"/>
          <w:sz w:val="28"/>
          <w:szCs w:val="28"/>
        </w:rPr>
        <w:t xml:space="preserve"> 25/03 2014 tarihinde de dava konusu 11/10/2013 tarihli işlemin iptali istemiyle </w:t>
      </w:r>
      <w:r w:rsidRPr="00B10DFE">
        <w:rPr>
          <w:rStyle w:val="Gvdemetni1ptbolukbraklyor"/>
          <w:rFonts w:asciiTheme="majorHAnsi" w:hAnsiTheme="majorHAnsi"/>
          <w:sz w:val="28"/>
          <w:szCs w:val="28"/>
        </w:rPr>
        <w:t>bakılmakta</w:t>
      </w:r>
      <w:r w:rsidRPr="00B10DFE">
        <w:rPr>
          <w:rFonts w:asciiTheme="majorHAnsi" w:hAnsiTheme="majorHAnsi"/>
          <w:sz w:val="28"/>
          <w:szCs w:val="28"/>
        </w:rPr>
        <w:t xml:space="preserve"> olan davanın açıldığı anlaşılmaktadır.</w:t>
      </w:r>
    </w:p>
    <w:p w:rsidR="00502692" w:rsidRPr="00B10DFE" w:rsidRDefault="00502692" w:rsidP="007E4B55">
      <w:pPr>
        <w:pStyle w:val="Gvdemetni0"/>
        <w:shd w:val="clear" w:color="auto" w:fill="auto"/>
        <w:spacing w:after="0" w:line="240" w:lineRule="auto"/>
        <w:ind w:left="142" w:right="706"/>
        <w:jc w:val="both"/>
        <w:rPr>
          <w:rFonts w:asciiTheme="majorHAnsi" w:hAnsiTheme="majorHAnsi"/>
          <w:sz w:val="28"/>
          <w:szCs w:val="28"/>
        </w:rPr>
      </w:pPr>
    </w:p>
    <w:p w:rsidR="00E909B8" w:rsidRDefault="00ED2320" w:rsidP="00502692">
      <w:pPr>
        <w:pStyle w:val="Gvdemetni20"/>
        <w:shd w:val="clear" w:color="auto" w:fill="auto"/>
        <w:spacing w:after="0" w:line="240" w:lineRule="auto"/>
        <w:ind w:left="142" w:right="706" w:firstLine="578"/>
        <w:rPr>
          <w:rFonts w:asciiTheme="majorHAnsi" w:hAnsiTheme="majorHAnsi"/>
          <w:sz w:val="28"/>
          <w:szCs w:val="28"/>
        </w:rPr>
      </w:pPr>
      <w:r w:rsidRPr="00B10DFE">
        <w:rPr>
          <w:rStyle w:val="Gvdemetni20ptbolukbraklyor"/>
          <w:rFonts w:asciiTheme="majorHAnsi" w:hAnsiTheme="majorHAnsi"/>
          <w:sz w:val="28"/>
          <w:szCs w:val="28"/>
        </w:rPr>
        <w:t>Bu</w:t>
      </w:r>
      <w:r w:rsidR="00875B66">
        <w:rPr>
          <w:rFonts w:asciiTheme="majorHAnsi" w:hAnsiTheme="majorHAnsi"/>
          <w:sz w:val="28"/>
          <w:szCs w:val="28"/>
        </w:rPr>
        <w:t xml:space="preserve"> durumda </w:t>
      </w:r>
      <w:r w:rsidRPr="00B10DFE">
        <w:rPr>
          <w:rFonts w:asciiTheme="majorHAnsi" w:hAnsiTheme="majorHAnsi"/>
          <w:sz w:val="28"/>
          <w:szCs w:val="28"/>
        </w:rPr>
        <w:t xml:space="preserve"> 03.08'2ü 13 tarihli</w:t>
      </w:r>
      <w:r w:rsidRPr="00B10DFE">
        <w:rPr>
          <w:rStyle w:val="Gvdemetni20ptbolukbraklyor"/>
          <w:rFonts w:asciiTheme="majorHAnsi" w:hAnsiTheme="majorHAnsi"/>
          <w:sz w:val="28"/>
          <w:szCs w:val="28"/>
        </w:rPr>
        <w:t xml:space="preserve"> yöne</w:t>
      </w:r>
      <w:r w:rsidR="00420AA9">
        <w:rPr>
          <w:rStyle w:val="Gvdemetni20ptbolukbraklyor"/>
          <w:rFonts w:asciiTheme="majorHAnsi" w:hAnsiTheme="majorHAnsi"/>
          <w:sz w:val="28"/>
          <w:szCs w:val="28"/>
        </w:rPr>
        <w:t xml:space="preserve">tim </w:t>
      </w:r>
      <w:r w:rsidR="00420AA9">
        <w:rPr>
          <w:rFonts w:asciiTheme="majorHAnsi" w:hAnsiTheme="majorHAnsi"/>
          <w:sz w:val="28"/>
          <w:szCs w:val="28"/>
        </w:rPr>
        <w:t>p</w:t>
      </w:r>
      <w:r w:rsidRPr="00B10DFE">
        <w:rPr>
          <w:rFonts w:asciiTheme="majorHAnsi" w:hAnsiTheme="majorHAnsi"/>
          <w:sz w:val="28"/>
          <w:szCs w:val="28"/>
        </w:rPr>
        <w:t>lanı</w:t>
      </w:r>
      <w:r w:rsidRPr="00B10DFE">
        <w:rPr>
          <w:rStyle w:val="Gvdemetni20ptbolukbraklyor"/>
          <w:rFonts w:asciiTheme="majorHAnsi" w:hAnsiTheme="majorHAnsi"/>
          <w:sz w:val="28"/>
          <w:szCs w:val="28"/>
        </w:rPr>
        <w:t xml:space="preserve"> değişikliğinin</w:t>
      </w:r>
      <w:r w:rsidRPr="00B10DFE">
        <w:rPr>
          <w:rFonts w:asciiTheme="majorHAnsi" w:hAnsiTheme="majorHAnsi"/>
          <w:sz w:val="28"/>
          <w:szCs w:val="28"/>
        </w:rPr>
        <w:t xml:space="preserve"> tapu siciline tescili nedeniyle</w:t>
      </w:r>
      <w:r w:rsidRPr="00B10DFE">
        <w:rPr>
          <w:rStyle w:val="Gvdemetni20ptbolukbraklyor"/>
          <w:rFonts w:asciiTheme="majorHAnsi" w:hAnsiTheme="majorHAnsi"/>
          <w:sz w:val="28"/>
          <w:szCs w:val="28"/>
        </w:rPr>
        <w:t xml:space="preserve"> 634</w:t>
      </w:r>
      <w:r w:rsidRPr="00B10DFE">
        <w:rPr>
          <w:rFonts w:asciiTheme="majorHAnsi" w:hAnsiTheme="majorHAnsi"/>
          <w:sz w:val="28"/>
          <w:szCs w:val="28"/>
        </w:rPr>
        <w:t xml:space="preserve"> sayı</w:t>
      </w:r>
      <w:r w:rsidR="00420AA9">
        <w:rPr>
          <w:rFonts w:asciiTheme="majorHAnsi" w:hAnsiTheme="majorHAnsi"/>
          <w:sz w:val="28"/>
          <w:szCs w:val="28"/>
        </w:rPr>
        <w:t>lı</w:t>
      </w:r>
      <w:r w:rsidR="00875B66">
        <w:rPr>
          <w:rFonts w:asciiTheme="majorHAnsi" w:hAnsiTheme="majorHAnsi"/>
          <w:sz w:val="28"/>
          <w:szCs w:val="28"/>
        </w:rPr>
        <w:t xml:space="preserve"> Kat Mülki</w:t>
      </w:r>
      <w:r w:rsidRPr="00B10DFE">
        <w:rPr>
          <w:rFonts w:asciiTheme="majorHAnsi" w:hAnsiTheme="majorHAnsi"/>
          <w:sz w:val="28"/>
          <w:szCs w:val="28"/>
        </w:rPr>
        <w:t>yeti</w:t>
      </w:r>
      <w:r w:rsidRPr="00B10DFE">
        <w:rPr>
          <w:rStyle w:val="Gvdemetni20ptbolukbraklyor"/>
          <w:rFonts w:asciiTheme="majorHAnsi" w:hAnsiTheme="majorHAnsi"/>
          <w:sz w:val="28"/>
          <w:szCs w:val="28"/>
        </w:rPr>
        <w:t xml:space="preserve"> Kanunun "uygulanmasından doğan</w:t>
      </w:r>
      <w:r w:rsidRPr="00B10DFE">
        <w:rPr>
          <w:rFonts w:asciiTheme="majorHAnsi" w:hAnsiTheme="majorHAnsi"/>
          <w:sz w:val="28"/>
          <w:szCs w:val="28"/>
        </w:rPr>
        <w:t xml:space="preserve"> dava konu</w:t>
      </w:r>
      <w:r w:rsidR="00420AA9">
        <w:rPr>
          <w:rFonts w:asciiTheme="majorHAnsi" w:hAnsiTheme="majorHAnsi"/>
          <w:sz w:val="28"/>
          <w:szCs w:val="28"/>
        </w:rPr>
        <w:t xml:space="preserve"> </w:t>
      </w:r>
      <w:r w:rsidRPr="00B10DFE">
        <w:rPr>
          <w:rFonts w:asciiTheme="majorHAnsi" w:hAnsiTheme="majorHAnsi"/>
          <w:sz w:val="28"/>
          <w:szCs w:val="28"/>
        </w:rPr>
        <w:t>uyuşmazlığın çözümünde anılan Kanun maddesi uyarınca adli yargı merciinin (Sulh Hukuk Mahkemesinin) görevli olduğu sonucuna varılmıştır</w:t>
      </w:r>
      <w:r w:rsidR="00502692">
        <w:rPr>
          <w:rFonts w:asciiTheme="majorHAnsi" w:hAnsiTheme="majorHAnsi"/>
          <w:sz w:val="28"/>
          <w:szCs w:val="28"/>
        </w:rPr>
        <w:t>.</w:t>
      </w:r>
    </w:p>
    <w:p w:rsidR="00420AA9" w:rsidRPr="00B10DFE" w:rsidRDefault="00420AA9" w:rsidP="007E4B55">
      <w:pPr>
        <w:pStyle w:val="Gvdemetni20"/>
        <w:shd w:val="clear" w:color="auto" w:fill="auto"/>
        <w:spacing w:after="0" w:line="240" w:lineRule="auto"/>
        <w:ind w:left="142" w:right="706" w:firstLine="0"/>
        <w:rPr>
          <w:rFonts w:asciiTheme="majorHAnsi" w:hAnsiTheme="majorHAnsi"/>
          <w:sz w:val="28"/>
          <w:szCs w:val="28"/>
        </w:rPr>
      </w:pPr>
    </w:p>
    <w:p w:rsidR="00E909B8" w:rsidRPr="00B10DFE" w:rsidRDefault="00ED2320" w:rsidP="007E4B55">
      <w:pPr>
        <w:pStyle w:val="Gvdemetni0"/>
        <w:shd w:val="clear" w:color="auto" w:fill="auto"/>
        <w:spacing w:after="0" w:line="240" w:lineRule="auto"/>
        <w:ind w:left="142" w:right="706" w:firstLine="578"/>
        <w:jc w:val="both"/>
        <w:rPr>
          <w:rFonts w:asciiTheme="majorHAnsi" w:hAnsiTheme="majorHAnsi"/>
          <w:sz w:val="28"/>
          <w:szCs w:val="28"/>
        </w:rPr>
      </w:pPr>
      <w:r w:rsidRPr="00B10DFE">
        <w:rPr>
          <w:rFonts w:asciiTheme="majorHAnsi" w:hAnsiTheme="majorHAnsi"/>
          <w:sz w:val="28"/>
          <w:szCs w:val="28"/>
        </w:rPr>
        <w:t xml:space="preserve">Açıklanan nedenlerle davanın 2577 sayılı İdari Yargılama Usulü Yasasının 15/1-a. maddesi hükmü uyarınca görev yönünden reddine; aynı Kanun'un 31. maddesinin yollamada bulunduğu 6100 sayılı Hukuk Muhakemeleri Kanunu'nıın 331. </w:t>
      </w:r>
      <w:r w:rsidR="00875B66" w:rsidRPr="00B10DFE">
        <w:rPr>
          <w:rFonts w:asciiTheme="majorHAnsi" w:hAnsiTheme="majorHAnsi"/>
          <w:sz w:val="28"/>
          <w:szCs w:val="28"/>
        </w:rPr>
        <w:t>Maddesinin</w:t>
      </w:r>
      <w:r w:rsidRPr="00B10DFE">
        <w:rPr>
          <w:rFonts w:asciiTheme="majorHAnsi" w:hAnsiTheme="majorHAnsi"/>
          <w:sz w:val="28"/>
          <w:szCs w:val="28"/>
        </w:rPr>
        <w:t xml:space="preserve">. 2. bendi uyarınca dava aşamasına ait aşağıda dökümü yapılan 75,00-TL yargılama giderinin, bu karar üzerine davaya adli yargı merciinde devam edilmemesi halinde davacı üzerinde bırakılmasına; yine bu karar üzerine davaya adli yargı merciinde devam edilmemesi ve bu kararımızın kesinleşmesi halinde posta avansı giderinden artan miktarların 6100 sayılı Kanunun 333. maddesi uyarınca davacıya iadesine; dava dosyasının Mahkememizce, adli vargı yerine gönderilmeyeceğinin ve adli yargı yerinde dava açmakta serbest olduğunun davacıya duyurulmasına, kararın tebliğini izleyen günden itibaren 30 gün içerisinde Danıştay nezdinde temyiz yolu açık olmak üzere, 16/04/2014 tarihinde oy birliğiyle karar </w:t>
      </w:r>
      <w:r w:rsidR="00875B66">
        <w:rPr>
          <w:rFonts w:asciiTheme="majorHAnsi" w:hAnsiTheme="majorHAnsi"/>
          <w:sz w:val="28"/>
          <w:szCs w:val="28"/>
        </w:rPr>
        <w:t xml:space="preserve"> </w:t>
      </w:r>
      <w:r w:rsidRPr="00B10DFE">
        <w:rPr>
          <w:rFonts w:asciiTheme="majorHAnsi" w:hAnsiTheme="majorHAnsi"/>
          <w:sz w:val="28"/>
          <w:szCs w:val="28"/>
        </w:rPr>
        <w:t>verildi.</w:t>
      </w:r>
    </w:p>
    <w:p w:rsidR="000038A1" w:rsidRPr="000038A1" w:rsidRDefault="000038A1" w:rsidP="007E4B55">
      <w:pPr>
        <w:ind w:left="142" w:right="706"/>
        <w:jc w:val="both"/>
      </w:pPr>
    </w:p>
    <w:sectPr w:rsidR="000038A1" w:rsidRPr="000038A1" w:rsidSect="00990459">
      <w:headerReference w:type="even" r:id="rId6"/>
      <w:headerReference w:type="default" r:id="rId7"/>
      <w:footerReference w:type="even" r:id="rId8"/>
      <w:footerReference w:type="default" r:id="rId9"/>
      <w:headerReference w:type="first" r:id="rId10"/>
      <w:footerReference w:type="first" r:id="rId11"/>
      <w:type w:val="continuous"/>
      <w:pgSz w:w="11905" w:h="16837"/>
      <w:pgMar w:top="0" w:right="0" w:bottom="0" w:left="567" w:header="0" w:footer="3"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978" w:rsidRDefault="00337978" w:rsidP="00E909B8">
      <w:r>
        <w:separator/>
      </w:r>
    </w:p>
  </w:endnote>
  <w:endnote w:type="continuationSeparator" w:id="1">
    <w:p w:rsidR="00337978" w:rsidRDefault="00337978" w:rsidP="00E909B8">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A2"/>
    <w:family w:val="roman"/>
    <w:pitch w:val="variable"/>
    <w:sig w:usb0="E0002AFF" w:usb1="C0007841"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B66" w:rsidRDefault="00875B66">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B66" w:rsidRDefault="00875B66">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B66" w:rsidRDefault="00875B6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978" w:rsidRDefault="00337978"/>
  </w:footnote>
  <w:footnote w:type="continuationSeparator" w:id="1">
    <w:p w:rsidR="00337978" w:rsidRDefault="0033797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B66" w:rsidRDefault="000E35ED">
    <w:pPr>
      <w:pStyle w:val="stbilgi"/>
    </w:pPr>
    <w:r w:rsidRPr="000E35E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32938" o:spid="_x0000_s3074" type="#_x0000_t136" style="position:absolute;margin-left:0;margin-top:0;width:1464pt;height:72.75pt;rotation:315;z-index:-251654144;mso-position-horizontal:center;mso-position-horizontal-relative:margin;mso-position-vertical:center;mso-position-vertical-relative:margin" o:allowincell="f" fillcolor="#365f91 [2404]" stroked="f">
          <v:fill opacity=".5"/>
          <v:textpath style="font-family:&quot;Arial Unicode MS&quot;;font-size:54pt" string="http://www.tkgm.gov.tr/tr/daire-başkanliklari/hukuk-müşavirliğ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B66" w:rsidRDefault="000E35ED">
    <w:pPr>
      <w:pStyle w:val="stbilgi"/>
    </w:pPr>
    <w:r w:rsidRPr="000E35E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32939" o:spid="_x0000_s3075" type="#_x0000_t136" style="position:absolute;margin-left:0;margin-top:0;width:1464pt;height:72.75pt;rotation:315;z-index:-251652096;mso-position-horizontal:center;mso-position-horizontal-relative:margin;mso-position-vertical:center;mso-position-vertical-relative:margin" o:allowincell="f" fillcolor="#365f91 [2404]" stroked="f">
          <v:fill opacity=".5"/>
          <v:textpath style="font-family:&quot;Arial Unicode MS&quot;;font-size:54pt" string="http://www.tkgm.gov.tr/tr/daire-başkanliklari/hukuk-müşavirliği"/>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B66" w:rsidRDefault="000E35ED">
    <w:pPr>
      <w:pStyle w:val="stbilgi"/>
    </w:pPr>
    <w:r w:rsidRPr="000E35E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32937" o:spid="_x0000_s3073" type="#_x0000_t136" style="position:absolute;margin-left:0;margin-top:0;width:1464pt;height:72.75pt;rotation:315;z-index:-251656192;mso-position-horizontal:center;mso-position-horizontal-relative:margin;mso-position-vertical:center;mso-position-vertical-relative:margin" o:allowincell="f" fillcolor="#365f91 [2404]" stroked="f">
          <v:fill opacity=".5"/>
          <v:textpath style="font-family:&quot;Arial Unicode MS&quot;;font-size:54pt" string="http://www.tkgm.gov.tr/tr/daire-başkanliklari/hukuk-müşavirliği"/>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drawingGridHorizontalSpacing w:val="181"/>
  <w:drawingGridVerticalSpacing w:val="181"/>
  <w:characterSpacingControl w:val="compressPunctuation"/>
  <w:hdrShapeDefaults>
    <o:shapedefaults v:ext="edit" spidmax="10242">
      <o:colormenu v:ext="edit" fillcolor="none [2894]"/>
    </o:shapedefaults>
    <o:shapelayout v:ext="edit">
      <o:idmap v:ext="edit" data="3"/>
    </o:shapelayout>
  </w:hdrShapeDefaults>
  <w:footnotePr>
    <w:footnote w:id="0"/>
    <w:footnote w:id="1"/>
  </w:footnotePr>
  <w:endnotePr>
    <w:endnote w:id="0"/>
    <w:endnote w:id="1"/>
  </w:endnotePr>
  <w:compat>
    <w:doNotExpandShiftReturn/>
    <w:useFELayout/>
  </w:compat>
  <w:rsids>
    <w:rsidRoot w:val="00E909B8"/>
    <w:rsid w:val="000038A1"/>
    <w:rsid w:val="000500A3"/>
    <w:rsid w:val="000A1575"/>
    <w:rsid w:val="000E35ED"/>
    <w:rsid w:val="00135F42"/>
    <w:rsid w:val="001C2C78"/>
    <w:rsid w:val="003210F3"/>
    <w:rsid w:val="00337978"/>
    <w:rsid w:val="00347195"/>
    <w:rsid w:val="00365637"/>
    <w:rsid w:val="00420AA9"/>
    <w:rsid w:val="00502692"/>
    <w:rsid w:val="005B586D"/>
    <w:rsid w:val="006C77E2"/>
    <w:rsid w:val="007E4B55"/>
    <w:rsid w:val="00875B66"/>
    <w:rsid w:val="00990459"/>
    <w:rsid w:val="00A801B7"/>
    <w:rsid w:val="00B10DFE"/>
    <w:rsid w:val="00E773B5"/>
    <w:rsid w:val="00E909B8"/>
    <w:rsid w:val="00ED232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289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909B8"/>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E909B8"/>
    <w:rPr>
      <w:color w:val="000080"/>
      <w:u w:val="single"/>
    </w:rPr>
  </w:style>
  <w:style w:type="character" w:customStyle="1" w:styleId="Gvdemetni">
    <w:name w:val="Gövde metni_"/>
    <w:basedOn w:val="VarsaylanParagrafYazTipi"/>
    <w:link w:val="Gvdemetni0"/>
    <w:rsid w:val="00E909B8"/>
    <w:rPr>
      <w:rFonts w:ascii="Times New Roman" w:eastAsia="Times New Roman" w:hAnsi="Times New Roman" w:cs="Times New Roman"/>
      <w:b w:val="0"/>
      <w:bCs w:val="0"/>
      <w:i w:val="0"/>
      <w:iCs w:val="0"/>
      <w:smallCaps w:val="0"/>
      <w:strike w:val="0"/>
      <w:spacing w:val="10"/>
      <w:sz w:val="19"/>
      <w:szCs w:val="19"/>
    </w:rPr>
  </w:style>
  <w:style w:type="character" w:customStyle="1" w:styleId="Gvdemetni1">
    <w:name w:val="Gövde metni"/>
    <w:basedOn w:val="Gvdemetni"/>
    <w:rsid w:val="00E909B8"/>
    <w:rPr>
      <w:u w:val="single"/>
    </w:rPr>
  </w:style>
  <w:style w:type="character" w:customStyle="1" w:styleId="GvdemetniKaln">
    <w:name w:val="Gövde metni + Kalın"/>
    <w:basedOn w:val="Gvdemetni"/>
    <w:rsid w:val="00E909B8"/>
    <w:rPr>
      <w:b/>
      <w:bCs/>
      <w:sz w:val="19"/>
      <w:szCs w:val="19"/>
    </w:rPr>
  </w:style>
  <w:style w:type="character" w:customStyle="1" w:styleId="Gvdemetni1ptbolukbraklyor">
    <w:name w:val="Gövde metni + 1 pt boşluk bırakılıyor"/>
    <w:basedOn w:val="Gvdemetni"/>
    <w:rsid w:val="00E909B8"/>
    <w:rPr>
      <w:spacing w:val="20"/>
    </w:rPr>
  </w:style>
  <w:style w:type="character" w:customStyle="1" w:styleId="Gvdemetni2">
    <w:name w:val="Gövde metni (2)_"/>
    <w:basedOn w:val="VarsaylanParagrafYazTipi"/>
    <w:link w:val="Gvdemetni20"/>
    <w:rsid w:val="00E909B8"/>
    <w:rPr>
      <w:rFonts w:ascii="Times New Roman" w:eastAsia="Times New Roman" w:hAnsi="Times New Roman" w:cs="Times New Roman"/>
      <w:b w:val="0"/>
      <w:bCs w:val="0"/>
      <w:i w:val="0"/>
      <w:iCs w:val="0"/>
      <w:smallCaps w:val="0"/>
      <w:strike w:val="0"/>
      <w:spacing w:val="20"/>
      <w:sz w:val="19"/>
      <w:szCs w:val="19"/>
    </w:rPr>
  </w:style>
  <w:style w:type="character" w:customStyle="1" w:styleId="Gvdemetni20ptbolukbraklyor">
    <w:name w:val="Gövde metni (2) + 0 pt boşluk bırakılıyor"/>
    <w:basedOn w:val="Gvdemetni2"/>
    <w:rsid w:val="00E909B8"/>
    <w:rPr>
      <w:spacing w:val="10"/>
    </w:rPr>
  </w:style>
  <w:style w:type="character" w:customStyle="1" w:styleId="Gvdemetni3">
    <w:name w:val="Gövde metni (3)_"/>
    <w:basedOn w:val="VarsaylanParagrafYazTipi"/>
    <w:link w:val="Gvdemetni30"/>
    <w:rsid w:val="00E909B8"/>
    <w:rPr>
      <w:rFonts w:ascii="Times New Roman" w:eastAsia="Times New Roman" w:hAnsi="Times New Roman" w:cs="Times New Roman"/>
      <w:b w:val="0"/>
      <w:bCs w:val="0"/>
      <w:i w:val="0"/>
      <w:iCs w:val="0"/>
      <w:smallCaps w:val="0"/>
      <w:strike w:val="0"/>
      <w:spacing w:val="10"/>
      <w:sz w:val="9"/>
      <w:szCs w:val="9"/>
    </w:rPr>
  </w:style>
  <w:style w:type="character" w:customStyle="1" w:styleId="GvdemetniArialNarrow115pt0ptbolukbraklyor">
    <w:name w:val="Gövde metni + Arial Narrow;11;5 pt;0 pt boşluk bırakılıyor"/>
    <w:basedOn w:val="Gvdemetni"/>
    <w:rsid w:val="00E909B8"/>
    <w:rPr>
      <w:rFonts w:ascii="Arial Narrow" w:eastAsia="Arial Narrow" w:hAnsi="Arial Narrow" w:cs="Arial Narrow"/>
      <w:spacing w:val="0"/>
      <w:w w:val="100"/>
      <w:sz w:val="23"/>
      <w:szCs w:val="23"/>
    </w:rPr>
  </w:style>
  <w:style w:type="character" w:customStyle="1" w:styleId="Gvdemetni4">
    <w:name w:val="Gövde metni"/>
    <w:basedOn w:val="Gvdemetni"/>
    <w:rsid w:val="00E909B8"/>
    <w:rPr>
      <w:u w:val="single"/>
    </w:rPr>
  </w:style>
  <w:style w:type="character" w:customStyle="1" w:styleId="Gvdemetni40">
    <w:name w:val="Gövde metni (4)_"/>
    <w:basedOn w:val="VarsaylanParagrafYazTipi"/>
    <w:link w:val="Gvdemetni41"/>
    <w:rsid w:val="00E909B8"/>
    <w:rPr>
      <w:rFonts w:ascii="Arial Narrow" w:eastAsia="Arial Narrow" w:hAnsi="Arial Narrow" w:cs="Arial Narrow"/>
      <w:b w:val="0"/>
      <w:bCs w:val="0"/>
      <w:i w:val="0"/>
      <w:iCs w:val="0"/>
      <w:smallCaps w:val="0"/>
      <w:strike w:val="0"/>
      <w:spacing w:val="0"/>
      <w:w w:val="100"/>
      <w:sz w:val="20"/>
      <w:szCs w:val="20"/>
    </w:rPr>
  </w:style>
  <w:style w:type="paragraph" w:customStyle="1" w:styleId="Gvdemetni0">
    <w:name w:val="Gövde metni"/>
    <w:basedOn w:val="Normal"/>
    <w:link w:val="Gvdemetni"/>
    <w:rsid w:val="00E909B8"/>
    <w:pPr>
      <w:shd w:val="clear" w:color="auto" w:fill="FFFFFF"/>
      <w:spacing w:after="240" w:line="317" w:lineRule="exact"/>
      <w:jc w:val="center"/>
    </w:pPr>
    <w:rPr>
      <w:rFonts w:ascii="Times New Roman" w:eastAsia="Times New Roman" w:hAnsi="Times New Roman" w:cs="Times New Roman"/>
      <w:spacing w:val="10"/>
      <w:sz w:val="19"/>
      <w:szCs w:val="19"/>
    </w:rPr>
  </w:style>
  <w:style w:type="paragraph" w:customStyle="1" w:styleId="Gvdemetni20">
    <w:name w:val="Gövde metni (2)"/>
    <w:basedOn w:val="Normal"/>
    <w:link w:val="Gvdemetni2"/>
    <w:rsid w:val="00E909B8"/>
    <w:pPr>
      <w:shd w:val="clear" w:color="auto" w:fill="FFFFFF"/>
      <w:spacing w:after="240" w:line="274" w:lineRule="exact"/>
      <w:ind w:firstLine="700"/>
      <w:jc w:val="both"/>
    </w:pPr>
    <w:rPr>
      <w:rFonts w:ascii="Times New Roman" w:eastAsia="Times New Roman" w:hAnsi="Times New Roman" w:cs="Times New Roman"/>
      <w:spacing w:val="20"/>
      <w:sz w:val="19"/>
      <w:szCs w:val="19"/>
    </w:rPr>
  </w:style>
  <w:style w:type="paragraph" w:customStyle="1" w:styleId="Gvdemetni30">
    <w:name w:val="Gövde metni (3)"/>
    <w:basedOn w:val="Normal"/>
    <w:link w:val="Gvdemetni3"/>
    <w:rsid w:val="00E909B8"/>
    <w:pPr>
      <w:shd w:val="clear" w:color="auto" w:fill="FFFFFF"/>
      <w:spacing w:before="900" w:line="0" w:lineRule="atLeast"/>
    </w:pPr>
    <w:rPr>
      <w:rFonts w:ascii="Times New Roman" w:eastAsia="Times New Roman" w:hAnsi="Times New Roman" w:cs="Times New Roman"/>
      <w:spacing w:val="10"/>
      <w:sz w:val="9"/>
      <w:szCs w:val="9"/>
    </w:rPr>
  </w:style>
  <w:style w:type="paragraph" w:customStyle="1" w:styleId="Gvdemetni41">
    <w:name w:val="Gövde metni (4)"/>
    <w:basedOn w:val="Normal"/>
    <w:link w:val="Gvdemetni40"/>
    <w:rsid w:val="00E909B8"/>
    <w:pPr>
      <w:shd w:val="clear" w:color="auto" w:fill="FFFFFF"/>
      <w:spacing w:after="900" w:line="0" w:lineRule="atLeast"/>
    </w:pPr>
    <w:rPr>
      <w:rFonts w:ascii="Arial Narrow" w:eastAsia="Arial Narrow" w:hAnsi="Arial Narrow" w:cs="Arial Narrow"/>
      <w:sz w:val="20"/>
      <w:szCs w:val="20"/>
    </w:rPr>
  </w:style>
  <w:style w:type="paragraph" w:styleId="stbilgi">
    <w:name w:val="header"/>
    <w:basedOn w:val="Normal"/>
    <w:link w:val="stbilgiChar"/>
    <w:uiPriority w:val="99"/>
    <w:semiHidden/>
    <w:unhideWhenUsed/>
    <w:rsid w:val="00875B66"/>
    <w:pPr>
      <w:tabs>
        <w:tab w:val="center" w:pos="4703"/>
        <w:tab w:val="right" w:pos="9406"/>
      </w:tabs>
    </w:pPr>
  </w:style>
  <w:style w:type="character" w:customStyle="1" w:styleId="stbilgiChar">
    <w:name w:val="Üstbilgi Char"/>
    <w:basedOn w:val="VarsaylanParagrafYazTipi"/>
    <w:link w:val="stbilgi"/>
    <w:uiPriority w:val="99"/>
    <w:semiHidden/>
    <w:rsid w:val="00875B66"/>
    <w:rPr>
      <w:color w:val="000000"/>
    </w:rPr>
  </w:style>
  <w:style w:type="paragraph" w:styleId="Altbilgi">
    <w:name w:val="footer"/>
    <w:basedOn w:val="Normal"/>
    <w:link w:val="AltbilgiChar"/>
    <w:uiPriority w:val="99"/>
    <w:semiHidden/>
    <w:unhideWhenUsed/>
    <w:rsid w:val="00875B66"/>
    <w:pPr>
      <w:tabs>
        <w:tab w:val="center" w:pos="4703"/>
        <w:tab w:val="right" w:pos="9406"/>
      </w:tabs>
    </w:pPr>
  </w:style>
  <w:style w:type="character" w:customStyle="1" w:styleId="AltbilgiChar">
    <w:name w:val="Altbilgi Char"/>
    <w:basedOn w:val="VarsaylanParagrafYazTipi"/>
    <w:link w:val="Altbilgi"/>
    <w:uiPriority w:val="99"/>
    <w:semiHidden/>
    <w:rsid w:val="00875B66"/>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TKGM</Company>
  <LinksUpToDate>false</LinksUpToDate>
  <CharactersWithSpaces>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gi2715</dc:creator>
  <cp:lastModifiedBy>tk38553</cp:lastModifiedBy>
  <cp:revision>2</cp:revision>
  <dcterms:created xsi:type="dcterms:W3CDTF">2020-12-01T07:18:00Z</dcterms:created>
  <dcterms:modified xsi:type="dcterms:W3CDTF">2020-12-01T07:18:00Z</dcterms:modified>
</cp:coreProperties>
</file>