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38953" w:themeColor="background2" w:themeShade="7F"/>
  <w:body>
    <w:p w:rsidR="00C072F2" w:rsidRPr="00026101" w:rsidRDefault="00026101" w:rsidP="00000FDE">
      <w:pPr>
        <w:pStyle w:val="Balk10"/>
        <w:keepNext/>
        <w:keepLines/>
        <w:shd w:val="clear" w:color="auto" w:fill="auto"/>
        <w:spacing w:line="240" w:lineRule="auto"/>
        <w:ind w:left="284" w:right="62"/>
        <w:rPr>
          <w:rFonts w:asciiTheme="majorHAnsi" w:hAnsiTheme="majorHAnsi"/>
          <w:sz w:val="28"/>
          <w:szCs w:val="28"/>
        </w:rPr>
      </w:pPr>
      <w:bookmarkStart w:id="0" w:name="bookmark0"/>
      <w:r w:rsidRPr="00026101">
        <w:rPr>
          <w:rFonts w:asciiTheme="majorHAnsi" w:hAnsiTheme="majorHAnsi"/>
          <w:sz w:val="28"/>
          <w:szCs w:val="28"/>
        </w:rPr>
        <w:t>DOSYA NO:641.0414.2703</w:t>
      </w:r>
      <w:r>
        <w:rPr>
          <w:rFonts w:asciiTheme="majorHAnsi" w:hAnsiTheme="majorHAnsi"/>
          <w:sz w:val="28"/>
          <w:szCs w:val="28"/>
        </w:rPr>
        <w:t xml:space="preserve">                                                                                KARAR NO:174</w:t>
      </w:r>
    </w:p>
    <w:p w:rsidR="00C072F2" w:rsidRPr="00C072F2" w:rsidRDefault="002F6CFD" w:rsidP="00000FDE">
      <w:pPr>
        <w:pStyle w:val="Balk10"/>
        <w:keepNext/>
        <w:keepLines/>
        <w:shd w:val="clear" w:color="auto" w:fill="auto"/>
        <w:spacing w:line="240" w:lineRule="auto"/>
        <w:ind w:left="284" w:right="62"/>
        <w:rPr>
          <w:rFonts w:asciiTheme="majorHAnsi" w:hAnsiTheme="majorHAnsi"/>
          <w:sz w:val="28"/>
          <w:szCs w:val="28"/>
        </w:rPr>
      </w:pPr>
      <w:r w:rsidRPr="00C072F2">
        <w:rPr>
          <w:rFonts w:asciiTheme="majorHAnsi" w:hAnsiTheme="majorHAnsi"/>
          <w:sz w:val="28"/>
          <w:szCs w:val="28"/>
        </w:rPr>
        <w:t>T.C</w:t>
      </w:r>
    </w:p>
    <w:p w:rsidR="00C072F2" w:rsidRPr="00C072F2" w:rsidRDefault="002F6CFD" w:rsidP="00000FDE">
      <w:pPr>
        <w:pStyle w:val="Balk10"/>
        <w:keepNext/>
        <w:keepLines/>
        <w:shd w:val="clear" w:color="auto" w:fill="auto"/>
        <w:spacing w:line="240" w:lineRule="auto"/>
        <w:ind w:left="284" w:right="62"/>
        <w:rPr>
          <w:rFonts w:asciiTheme="majorHAnsi" w:hAnsiTheme="majorHAnsi"/>
          <w:sz w:val="28"/>
          <w:szCs w:val="28"/>
        </w:rPr>
      </w:pPr>
      <w:r w:rsidRPr="00C072F2">
        <w:rPr>
          <w:rFonts w:asciiTheme="majorHAnsi" w:hAnsiTheme="majorHAnsi"/>
          <w:sz w:val="28"/>
          <w:szCs w:val="28"/>
        </w:rPr>
        <w:t xml:space="preserve">GAZİANTEP </w:t>
      </w:r>
    </w:p>
    <w:p w:rsidR="006046DF" w:rsidRPr="00C072F2" w:rsidRDefault="002F6CFD" w:rsidP="00000FDE">
      <w:pPr>
        <w:pStyle w:val="Balk10"/>
        <w:keepNext/>
        <w:keepLines/>
        <w:shd w:val="clear" w:color="auto" w:fill="auto"/>
        <w:spacing w:line="240" w:lineRule="auto"/>
        <w:ind w:left="284" w:right="62"/>
        <w:rPr>
          <w:rFonts w:asciiTheme="majorHAnsi" w:hAnsiTheme="majorHAnsi"/>
          <w:sz w:val="28"/>
          <w:szCs w:val="28"/>
        </w:rPr>
      </w:pPr>
      <w:r w:rsidRPr="00C072F2">
        <w:rPr>
          <w:rFonts w:asciiTheme="majorHAnsi" w:hAnsiTheme="majorHAnsi"/>
          <w:sz w:val="28"/>
          <w:szCs w:val="28"/>
        </w:rPr>
        <w:t>BÖLGE İDARE MAHKEMESİ</w:t>
      </w:r>
      <w:bookmarkEnd w:id="0"/>
    </w:p>
    <w:p w:rsidR="00C072F2" w:rsidRDefault="002F6CFD" w:rsidP="00000FDE">
      <w:pPr>
        <w:pStyle w:val="Balk10"/>
        <w:keepNext/>
        <w:keepLines/>
        <w:shd w:val="clear" w:color="auto" w:fill="auto"/>
        <w:spacing w:line="240" w:lineRule="auto"/>
        <w:ind w:left="284" w:right="62"/>
        <w:rPr>
          <w:rFonts w:asciiTheme="majorHAnsi" w:hAnsiTheme="majorHAnsi"/>
          <w:b w:val="0"/>
          <w:sz w:val="28"/>
          <w:szCs w:val="28"/>
          <w:vertAlign w:val="superscript"/>
        </w:rPr>
      </w:pPr>
      <w:bookmarkStart w:id="1" w:name="bookmark1"/>
      <w:r w:rsidRPr="00C072F2">
        <w:rPr>
          <w:rFonts w:asciiTheme="majorHAnsi" w:hAnsiTheme="majorHAnsi"/>
          <w:sz w:val="28"/>
          <w:szCs w:val="28"/>
        </w:rPr>
        <w:t xml:space="preserve">ESAS </w:t>
      </w:r>
      <w:r w:rsidR="00000FDE" w:rsidRPr="00C072F2">
        <w:rPr>
          <w:rFonts w:asciiTheme="majorHAnsi" w:hAnsiTheme="majorHAnsi"/>
          <w:sz w:val="28"/>
          <w:szCs w:val="28"/>
        </w:rPr>
        <w:t>NO</w:t>
      </w:r>
      <w:r w:rsidR="00000FDE" w:rsidRPr="00C072F2">
        <w:rPr>
          <w:rFonts w:asciiTheme="majorHAnsi" w:hAnsiTheme="majorHAnsi"/>
          <w:b w:val="0"/>
          <w:sz w:val="28"/>
          <w:szCs w:val="28"/>
        </w:rPr>
        <w:t>: 2014</w:t>
      </w:r>
      <w:r w:rsidRPr="00C072F2">
        <w:rPr>
          <w:rFonts w:asciiTheme="majorHAnsi" w:hAnsiTheme="majorHAnsi"/>
          <w:b w:val="0"/>
          <w:sz w:val="28"/>
          <w:szCs w:val="28"/>
        </w:rPr>
        <w:t>/2078</w:t>
      </w:r>
      <w:r w:rsidRPr="00C072F2">
        <w:rPr>
          <w:rFonts w:asciiTheme="majorHAnsi" w:hAnsiTheme="majorHAnsi"/>
          <w:b w:val="0"/>
          <w:sz w:val="28"/>
          <w:szCs w:val="28"/>
          <w:vertAlign w:val="superscript"/>
        </w:rPr>
        <w:t xml:space="preserve"> </w:t>
      </w:r>
    </w:p>
    <w:p w:rsidR="00C072F2" w:rsidRDefault="002F6CFD" w:rsidP="00000FDE">
      <w:pPr>
        <w:pStyle w:val="Balk10"/>
        <w:keepNext/>
        <w:keepLines/>
        <w:shd w:val="clear" w:color="auto" w:fill="auto"/>
        <w:spacing w:line="240" w:lineRule="auto"/>
        <w:ind w:left="284" w:right="62"/>
        <w:rPr>
          <w:rFonts w:asciiTheme="majorHAnsi" w:hAnsiTheme="majorHAnsi"/>
          <w:b w:val="0"/>
          <w:sz w:val="28"/>
          <w:szCs w:val="28"/>
          <w:vertAlign w:val="superscript"/>
        </w:rPr>
      </w:pPr>
      <w:r w:rsidRPr="00C072F2">
        <w:rPr>
          <w:rFonts w:asciiTheme="majorHAnsi" w:hAnsiTheme="majorHAnsi"/>
          <w:sz w:val="28"/>
          <w:szCs w:val="28"/>
        </w:rPr>
        <w:t xml:space="preserve">KARAR </w:t>
      </w:r>
      <w:r w:rsidR="00000FDE" w:rsidRPr="00C072F2">
        <w:rPr>
          <w:rFonts w:asciiTheme="majorHAnsi" w:hAnsiTheme="majorHAnsi"/>
          <w:sz w:val="28"/>
          <w:szCs w:val="28"/>
        </w:rPr>
        <w:t>NO</w:t>
      </w:r>
      <w:r w:rsidR="00000FDE" w:rsidRPr="00C072F2">
        <w:rPr>
          <w:rFonts w:asciiTheme="majorHAnsi" w:hAnsiTheme="majorHAnsi"/>
          <w:b w:val="0"/>
          <w:sz w:val="28"/>
          <w:szCs w:val="28"/>
        </w:rPr>
        <w:t>: 2014</w:t>
      </w:r>
      <w:r w:rsidRPr="00C072F2">
        <w:rPr>
          <w:rFonts w:asciiTheme="majorHAnsi" w:hAnsiTheme="majorHAnsi"/>
          <w:b w:val="0"/>
          <w:sz w:val="28"/>
          <w:szCs w:val="28"/>
        </w:rPr>
        <w:t>/2361</w:t>
      </w:r>
      <w:bookmarkStart w:id="2" w:name="bookmark2"/>
      <w:bookmarkEnd w:id="1"/>
    </w:p>
    <w:p w:rsidR="006046DF" w:rsidRPr="00C072F2" w:rsidRDefault="002F6CFD" w:rsidP="00000FDE">
      <w:pPr>
        <w:pStyle w:val="Balk10"/>
        <w:keepNext/>
        <w:keepLines/>
        <w:shd w:val="clear" w:color="auto" w:fill="auto"/>
        <w:spacing w:line="240" w:lineRule="auto"/>
        <w:ind w:left="284" w:right="62"/>
        <w:rPr>
          <w:rFonts w:asciiTheme="majorHAnsi" w:hAnsiTheme="majorHAnsi"/>
          <w:b w:val="0"/>
          <w:sz w:val="28"/>
          <w:szCs w:val="28"/>
          <w:vertAlign w:val="superscript"/>
        </w:rPr>
      </w:pPr>
      <w:r w:rsidRPr="00C072F2">
        <w:rPr>
          <w:rStyle w:val="Balk11"/>
          <w:rFonts w:asciiTheme="majorHAnsi" w:hAnsiTheme="majorHAnsi"/>
          <w:sz w:val="28"/>
          <w:szCs w:val="28"/>
          <w:u w:val="none"/>
        </w:rPr>
        <w:t>İTİRAZ EDEN (DAVACI)</w:t>
      </w:r>
      <w:r w:rsidRPr="00C072F2">
        <w:rPr>
          <w:rStyle w:val="Balk1KalnDeil"/>
          <w:rFonts w:asciiTheme="majorHAnsi" w:hAnsiTheme="majorHAnsi"/>
          <w:sz w:val="28"/>
          <w:szCs w:val="28"/>
        </w:rPr>
        <w:t xml:space="preserve">: </w:t>
      </w:r>
      <w:bookmarkEnd w:id="2"/>
    </w:p>
    <w:p w:rsidR="006046DF" w:rsidRPr="00C072F2" w:rsidRDefault="00000FDE" w:rsidP="00000FDE">
      <w:pPr>
        <w:pStyle w:val="Gvdemetni0"/>
        <w:shd w:val="clear" w:color="auto" w:fill="auto"/>
        <w:tabs>
          <w:tab w:val="left" w:leader="underscore" w:pos="4511"/>
        </w:tabs>
        <w:spacing w:line="240" w:lineRule="auto"/>
        <w:ind w:left="284" w:right="62"/>
        <w:rPr>
          <w:rFonts w:asciiTheme="majorHAnsi" w:hAnsiTheme="majorHAnsi"/>
          <w:sz w:val="28"/>
          <w:szCs w:val="28"/>
        </w:rPr>
      </w:pPr>
      <w:r>
        <w:rPr>
          <w:rStyle w:val="GvdemetniKaln"/>
          <w:rFonts w:asciiTheme="majorHAnsi" w:hAnsiTheme="majorHAnsi"/>
          <w:sz w:val="28"/>
          <w:szCs w:val="28"/>
          <w:u w:val="none"/>
        </w:rPr>
        <w:t xml:space="preserve"> </w:t>
      </w:r>
      <w:r w:rsidRPr="00C072F2">
        <w:rPr>
          <w:rStyle w:val="GvdemetniKaln"/>
          <w:rFonts w:asciiTheme="majorHAnsi" w:hAnsiTheme="majorHAnsi"/>
          <w:sz w:val="28"/>
          <w:szCs w:val="28"/>
          <w:u w:val="none"/>
        </w:rPr>
        <w:t>VEKİLİ</w:t>
      </w:r>
      <w:r>
        <w:rPr>
          <w:rStyle w:val="GvdemetniKaln"/>
          <w:rFonts w:asciiTheme="majorHAnsi" w:hAnsiTheme="majorHAnsi"/>
          <w:sz w:val="28"/>
          <w:szCs w:val="28"/>
          <w:u w:val="none"/>
        </w:rPr>
        <w:t>:</w:t>
      </w:r>
      <w:r w:rsidR="002F6CFD" w:rsidRPr="00C072F2">
        <w:rPr>
          <w:rFonts w:asciiTheme="majorHAnsi" w:hAnsiTheme="majorHAnsi"/>
          <w:sz w:val="28"/>
          <w:szCs w:val="28"/>
        </w:rPr>
        <w:t xml:space="preserve"> </w:t>
      </w:r>
    </w:p>
    <w:p w:rsidR="006046DF" w:rsidRPr="00C072F2" w:rsidRDefault="002F6CFD" w:rsidP="00000FDE">
      <w:pPr>
        <w:pStyle w:val="Gvdemetni0"/>
        <w:shd w:val="clear" w:color="auto" w:fill="auto"/>
        <w:tabs>
          <w:tab w:val="left" w:leader="underscore" w:pos="4511"/>
        </w:tabs>
        <w:spacing w:line="240" w:lineRule="auto"/>
        <w:ind w:left="284" w:right="62"/>
        <w:rPr>
          <w:rFonts w:asciiTheme="majorHAnsi" w:hAnsiTheme="majorHAnsi"/>
          <w:sz w:val="28"/>
          <w:szCs w:val="28"/>
        </w:rPr>
      </w:pPr>
      <w:r w:rsidRPr="00C072F2">
        <w:rPr>
          <w:rStyle w:val="GvdemetniKaln"/>
          <w:rFonts w:asciiTheme="majorHAnsi" w:hAnsiTheme="majorHAnsi"/>
          <w:sz w:val="28"/>
          <w:szCs w:val="28"/>
          <w:u w:val="none"/>
        </w:rPr>
        <w:t>KARŞI TARAF (DAVALI)</w:t>
      </w:r>
      <w:r w:rsidRPr="00C072F2">
        <w:rPr>
          <w:rFonts w:asciiTheme="majorHAnsi" w:hAnsiTheme="majorHAnsi"/>
          <w:sz w:val="28"/>
          <w:szCs w:val="28"/>
        </w:rPr>
        <w:t>: TAPU VE KADASTRO GENELMÜDÜRLÜĞÜ</w:t>
      </w:r>
    </w:p>
    <w:p w:rsidR="006046DF" w:rsidRPr="003165A9" w:rsidRDefault="002F6CFD" w:rsidP="00000FDE">
      <w:pPr>
        <w:pStyle w:val="Gvdemetni0"/>
        <w:shd w:val="clear" w:color="auto" w:fill="auto"/>
        <w:tabs>
          <w:tab w:val="left" w:leader="underscore" w:pos="4550"/>
        </w:tabs>
        <w:spacing w:line="240" w:lineRule="auto"/>
        <w:ind w:left="284" w:right="62"/>
        <w:rPr>
          <w:rFonts w:asciiTheme="majorHAnsi" w:hAnsiTheme="majorHAnsi"/>
          <w:b/>
          <w:bCs/>
          <w:sz w:val="28"/>
          <w:szCs w:val="28"/>
        </w:rPr>
      </w:pPr>
      <w:r w:rsidRPr="00C072F2">
        <w:rPr>
          <w:rStyle w:val="GvdemetniKaln"/>
          <w:rFonts w:asciiTheme="majorHAnsi" w:hAnsiTheme="majorHAnsi"/>
          <w:sz w:val="28"/>
          <w:szCs w:val="28"/>
          <w:u w:val="none"/>
        </w:rPr>
        <w:t>İSTEMİN ÖZETİ</w:t>
      </w:r>
      <w:r w:rsidR="00E82A61">
        <w:rPr>
          <w:rFonts w:asciiTheme="majorHAnsi" w:hAnsiTheme="majorHAnsi"/>
          <w:sz w:val="28"/>
          <w:szCs w:val="28"/>
        </w:rPr>
        <w:t>: Davacı tarafından Gaziantep ..</w:t>
      </w:r>
      <w:r w:rsidRPr="00C072F2">
        <w:rPr>
          <w:rFonts w:asciiTheme="majorHAnsi" w:hAnsiTheme="majorHAnsi"/>
          <w:sz w:val="28"/>
          <w:szCs w:val="28"/>
        </w:rPr>
        <w:t>. İcra Müdürlüğü nezdinde</w:t>
      </w:r>
      <w:r w:rsidR="00C072F2">
        <w:rPr>
          <w:rFonts w:asciiTheme="majorHAnsi" w:hAnsiTheme="majorHAnsi"/>
          <w:sz w:val="28"/>
          <w:szCs w:val="28"/>
        </w:rPr>
        <w:t xml:space="preserve"> </w:t>
      </w:r>
      <w:r w:rsidRPr="00C072F2">
        <w:rPr>
          <w:rFonts w:asciiTheme="majorHAnsi" w:hAnsiTheme="majorHAnsi"/>
          <w:sz w:val="28"/>
          <w:szCs w:val="28"/>
        </w:rPr>
        <w:t>yürütülmek</w:t>
      </w:r>
      <w:r w:rsidR="00C072F2">
        <w:rPr>
          <w:rFonts w:asciiTheme="majorHAnsi" w:hAnsiTheme="majorHAnsi"/>
          <w:sz w:val="28"/>
          <w:szCs w:val="28"/>
        </w:rPr>
        <w:t xml:space="preserve">te olan takip kapsamında borçlu </w:t>
      </w:r>
      <w:r w:rsidRPr="00C072F2">
        <w:rPr>
          <w:rFonts w:asciiTheme="majorHAnsi" w:hAnsiTheme="majorHAnsi"/>
          <w:sz w:val="28"/>
          <w:szCs w:val="28"/>
        </w:rPr>
        <w:t xml:space="preserve">isimli şahsa ilişkin olarak Tapu ve Kadastro Genel Müdürlüğü TAKBİS sistemi üzerinde yapılan sorgulama sonucu bu şahsa ait olduğu görülen taşınmaz için icra ve satış işlemleri yürütülmesine karşın satış aşamasına gelindiğinde takibe konu taşınmazın gerçekte dava dışı 3. kişiye ait olduğunun anlaşılması üzerine takibin kaldırılması sonucu, satış işlemlerini yürütmek üzere sarf edilen giderler nedeniyle uğranılan 3.295,00-TL zararın </w:t>
      </w:r>
      <w:r w:rsidR="00000FDE" w:rsidRPr="00C072F2">
        <w:rPr>
          <w:rFonts w:asciiTheme="majorHAnsi" w:hAnsiTheme="majorHAnsi"/>
          <w:sz w:val="28"/>
          <w:szCs w:val="28"/>
        </w:rPr>
        <w:t>30.12.2013</w:t>
      </w:r>
      <w:r w:rsidRPr="00C072F2">
        <w:rPr>
          <w:rFonts w:asciiTheme="majorHAnsi" w:hAnsiTheme="majorHAnsi"/>
          <w:sz w:val="28"/>
          <w:szCs w:val="28"/>
        </w:rPr>
        <w:t xml:space="preserve"> tarihinden itibaren işletilecek yasal faizi ile birlikte tazminine karar verilmesi istemiyle açılan davada; Gaziantep 1. idare Mahkemesince verilen </w:t>
      </w:r>
      <w:r w:rsidR="00026101" w:rsidRPr="00C072F2">
        <w:rPr>
          <w:rFonts w:asciiTheme="majorHAnsi" w:hAnsiTheme="majorHAnsi"/>
          <w:sz w:val="28"/>
          <w:szCs w:val="28"/>
        </w:rPr>
        <w:t>28.05.2014</w:t>
      </w:r>
      <w:r w:rsidRPr="00C072F2">
        <w:rPr>
          <w:rFonts w:asciiTheme="majorHAnsi" w:hAnsiTheme="majorHAnsi"/>
          <w:sz w:val="28"/>
          <w:szCs w:val="28"/>
        </w:rPr>
        <w:t xml:space="preserve"> gün ve E:2014/471, K:2014/402 sayılı "davanın 2577 sayılı idari Yargılama Usulü Yasasının 15/1-a maddesi hükmü uyarınca</w:t>
      </w:r>
      <w:r w:rsidRPr="00C072F2">
        <w:rPr>
          <w:rStyle w:val="GvdemetniKaln0"/>
          <w:rFonts w:asciiTheme="majorHAnsi" w:hAnsiTheme="majorHAnsi"/>
          <w:b w:val="0"/>
          <w:sz w:val="28"/>
          <w:szCs w:val="28"/>
        </w:rPr>
        <w:t xml:space="preserve"> görev yönünden reddine"</w:t>
      </w:r>
      <w:r w:rsidRPr="00C072F2">
        <w:rPr>
          <w:rFonts w:asciiTheme="majorHAnsi" w:hAnsiTheme="majorHAnsi"/>
          <w:sz w:val="28"/>
          <w:szCs w:val="28"/>
        </w:rPr>
        <w:t xml:space="preserve"> ilişkin kararın; olayda tapu kayıtlarının doğru olduğu, ancak memurlarının kayıtları sisteme yanlış aktardıkları, dolayısıyla idarenin hizmet kuşum bulunduğu, bu nedenle davanın idari yargıda görülmesi gerektiği ileri sürülerek itirazen bozulması istenilmektedir.</w:t>
      </w:r>
    </w:p>
    <w:p w:rsidR="006046DF" w:rsidRPr="00C072F2" w:rsidRDefault="002F6CFD" w:rsidP="00026101">
      <w:pPr>
        <w:pStyle w:val="Gvdemetni0"/>
        <w:shd w:val="clear" w:color="auto" w:fill="auto"/>
        <w:tabs>
          <w:tab w:val="left" w:leader="underscore" w:pos="4602"/>
        </w:tabs>
        <w:spacing w:line="240" w:lineRule="auto"/>
        <w:ind w:left="284" w:right="62"/>
        <w:rPr>
          <w:rFonts w:asciiTheme="majorHAnsi" w:hAnsiTheme="majorHAnsi"/>
          <w:sz w:val="28"/>
          <w:szCs w:val="28"/>
        </w:rPr>
      </w:pPr>
      <w:r w:rsidRPr="00C072F2">
        <w:rPr>
          <w:rStyle w:val="GvdemetniKaln"/>
          <w:rFonts w:asciiTheme="majorHAnsi" w:hAnsiTheme="majorHAnsi"/>
          <w:sz w:val="28"/>
          <w:szCs w:val="28"/>
          <w:u w:val="none"/>
        </w:rPr>
        <w:t>SAVUNMANIN OZETI</w:t>
      </w:r>
      <w:r w:rsidRPr="00C072F2">
        <w:rPr>
          <w:rFonts w:asciiTheme="majorHAnsi" w:hAnsiTheme="majorHAnsi"/>
          <w:sz w:val="28"/>
          <w:szCs w:val="28"/>
        </w:rPr>
        <w:t>: Dava konusu olayın tapu sicilinin tutulmasına ilişkin</w:t>
      </w:r>
      <w:r w:rsidR="00000FDE">
        <w:rPr>
          <w:rFonts w:asciiTheme="majorHAnsi" w:hAnsiTheme="majorHAnsi"/>
          <w:sz w:val="28"/>
          <w:szCs w:val="28"/>
        </w:rPr>
        <w:t xml:space="preserve"> </w:t>
      </w:r>
      <w:r w:rsidRPr="00C072F2">
        <w:rPr>
          <w:rFonts w:asciiTheme="majorHAnsi" w:hAnsiTheme="majorHAnsi"/>
          <w:sz w:val="28"/>
          <w:szCs w:val="28"/>
        </w:rPr>
        <w:t>olması nedeniyle davanın görüm ve çözümünün adlı yargının görevine girdiği, kararın onanması gerektiği savunulmaktadır.</w:t>
      </w:r>
    </w:p>
    <w:p w:rsidR="00C072F2" w:rsidRDefault="00C072F2" w:rsidP="00000FDE">
      <w:pPr>
        <w:pStyle w:val="Balk10"/>
        <w:keepNext/>
        <w:keepLines/>
        <w:shd w:val="clear" w:color="auto" w:fill="auto"/>
        <w:spacing w:line="240" w:lineRule="auto"/>
        <w:ind w:left="284" w:right="62"/>
        <w:rPr>
          <w:rFonts w:asciiTheme="majorHAnsi" w:hAnsiTheme="majorHAnsi"/>
          <w:sz w:val="28"/>
          <w:szCs w:val="28"/>
        </w:rPr>
      </w:pPr>
      <w:bookmarkStart w:id="3" w:name="bookmark3"/>
    </w:p>
    <w:p w:rsidR="006046DF" w:rsidRPr="00C072F2" w:rsidRDefault="002F6CFD" w:rsidP="00000FDE">
      <w:pPr>
        <w:pStyle w:val="Balk10"/>
        <w:keepNext/>
        <w:keepLines/>
        <w:shd w:val="clear" w:color="auto" w:fill="auto"/>
        <w:spacing w:line="240" w:lineRule="auto"/>
        <w:ind w:left="3824" w:right="62"/>
        <w:rPr>
          <w:rFonts w:asciiTheme="majorHAnsi" w:hAnsiTheme="majorHAnsi"/>
          <w:sz w:val="28"/>
          <w:szCs w:val="28"/>
        </w:rPr>
      </w:pPr>
      <w:r w:rsidRPr="00C072F2">
        <w:rPr>
          <w:rFonts w:asciiTheme="majorHAnsi" w:hAnsiTheme="majorHAnsi"/>
          <w:sz w:val="28"/>
          <w:szCs w:val="28"/>
        </w:rPr>
        <w:t>TÜRK MİLLETİ ADINA</w:t>
      </w:r>
      <w:bookmarkEnd w:id="3"/>
    </w:p>
    <w:p w:rsidR="00C072F2" w:rsidRDefault="00C072F2" w:rsidP="00000FDE">
      <w:pPr>
        <w:pStyle w:val="Gvdemetni0"/>
        <w:shd w:val="clear" w:color="auto" w:fill="auto"/>
        <w:spacing w:line="240" w:lineRule="auto"/>
        <w:ind w:left="284" w:right="62"/>
        <w:rPr>
          <w:rFonts w:asciiTheme="majorHAnsi" w:hAnsiTheme="majorHAnsi"/>
          <w:sz w:val="28"/>
          <w:szCs w:val="28"/>
        </w:rPr>
      </w:pPr>
    </w:p>
    <w:p w:rsidR="006046DF" w:rsidRPr="00C072F2" w:rsidRDefault="002F6CFD" w:rsidP="00000FDE">
      <w:pPr>
        <w:pStyle w:val="Gvdemetni0"/>
        <w:shd w:val="clear" w:color="auto" w:fill="auto"/>
        <w:spacing w:line="240" w:lineRule="auto"/>
        <w:ind w:left="284" w:right="62" w:firstLine="424"/>
        <w:rPr>
          <w:rFonts w:asciiTheme="majorHAnsi" w:hAnsiTheme="majorHAnsi"/>
          <w:sz w:val="28"/>
          <w:szCs w:val="28"/>
        </w:rPr>
      </w:pPr>
      <w:r w:rsidRPr="00C072F2">
        <w:rPr>
          <w:rFonts w:asciiTheme="majorHAnsi" w:hAnsiTheme="majorHAnsi"/>
          <w:sz w:val="28"/>
          <w:szCs w:val="28"/>
        </w:rPr>
        <w:t>Hüküm veren Gaziantep Bölge idare Mahkemesi'nce, dosyadaki tüm bilgi ve belgeler, 2577 sayılı İdari Yargılama Usulü Kanunu'nun 45. maddesi uyarınca incelenerek işin gereği görüşüldü:</w:t>
      </w:r>
    </w:p>
    <w:p w:rsidR="006046DF" w:rsidRPr="00C072F2" w:rsidRDefault="002F6CFD" w:rsidP="00000FDE">
      <w:pPr>
        <w:pStyle w:val="Gvdemetni0"/>
        <w:shd w:val="clear" w:color="auto" w:fill="auto"/>
        <w:spacing w:line="240" w:lineRule="auto"/>
        <w:ind w:left="284" w:right="62" w:firstLine="424"/>
        <w:rPr>
          <w:rFonts w:asciiTheme="majorHAnsi" w:hAnsiTheme="majorHAnsi"/>
          <w:sz w:val="28"/>
          <w:szCs w:val="28"/>
        </w:rPr>
      </w:pPr>
      <w:r w:rsidRPr="00C072F2">
        <w:rPr>
          <w:rFonts w:asciiTheme="majorHAnsi" w:hAnsiTheme="majorHAnsi"/>
          <w:sz w:val="28"/>
          <w:szCs w:val="28"/>
        </w:rPr>
        <w:t xml:space="preserve">Gaziantep 1. idare Mahkemesi'nce verilen </w:t>
      </w:r>
      <w:r w:rsidR="00000FDE" w:rsidRPr="00C072F2">
        <w:rPr>
          <w:rFonts w:asciiTheme="majorHAnsi" w:hAnsiTheme="majorHAnsi"/>
          <w:sz w:val="28"/>
          <w:szCs w:val="28"/>
        </w:rPr>
        <w:t>28.05.2014</w:t>
      </w:r>
      <w:r w:rsidRPr="00C072F2">
        <w:rPr>
          <w:rFonts w:asciiTheme="majorHAnsi" w:hAnsiTheme="majorHAnsi"/>
          <w:sz w:val="28"/>
          <w:szCs w:val="28"/>
        </w:rPr>
        <w:t xml:space="preserve"> gün ve E:2014/471, K:2014/402 sayılı karar usul ve hukuka uygun olup bozulmasını gerektiren bir neden bulunmadığından, itiraz isteminin reddi ile anılan kararın</w:t>
      </w:r>
      <w:r w:rsidRPr="00C072F2">
        <w:rPr>
          <w:rStyle w:val="GvdemetniKaln0"/>
          <w:rFonts w:asciiTheme="majorHAnsi" w:hAnsiTheme="majorHAnsi"/>
          <w:b w:val="0"/>
          <w:sz w:val="28"/>
          <w:szCs w:val="28"/>
        </w:rPr>
        <w:t xml:space="preserve"> </w:t>
      </w:r>
      <w:r w:rsidRPr="00C072F2">
        <w:rPr>
          <w:rStyle w:val="GvdemetniKaln"/>
          <w:rFonts w:asciiTheme="majorHAnsi" w:hAnsiTheme="majorHAnsi"/>
          <w:b w:val="0"/>
          <w:sz w:val="28"/>
          <w:szCs w:val="28"/>
          <w:u w:val="none"/>
        </w:rPr>
        <w:t>ONANMASINA,</w:t>
      </w:r>
      <w:r w:rsidRPr="00C072F2">
        <w:rPr>
          <w:rFonts w:asciiTheme="majorHAnsi" w:hAnsiTheme="majorHAnsi"/>
          <w:sz w:val="28"/>
          <w:szCs w:val="28"/>
        </w:rPr>
        <w:t xml:space="preserve"> yargılama giderlerinin itiraz edenin üzerinde bırakılmasına, posta giderme karşılık yatırılmış olan avanstan artanının 6100 sayılı Hukuk Muhakemeleri Kanunu'nun 333. maddesi uyarınca kararın kesinleşmesinden sonra ilgilisine resen iadesine, kararın tebliğini izleyen günden itibaren 15 gün içinde Mahkememize karar düzeltme yolu açık olmak üzere, </w:t>
      </w:r>
      <w:r w:rsidR="00000FDE" w:rsidRPr="00C072F2">
        <w:rPr>
          <w:rFonts w:asciiTheme="majorHAnsi" w:hAnsiTheme="majorHAnsi"/>
          <w:sz w:val="28"/>
          <w:szCs w:val="28"/>
        </w:rPr>
        <w:t>31.10.2014</w:t>
      </w:r>
      <w:r w:rsidRPr="00C072F2">
        <w:rPr>
          <w:rFonts w:asciiTheme="majorHAnsi" w:hAnsiTheme="majorHAnsi"/>
          <w:sz w:val="28"/>
          <w:szCs w:val="28"/>
        </w:rPr>
        <w:t xml:space="preserve"> tarihinde oybirliğiyle karar verildi.</w:t>
      </w:r>
    </w:p>
    <w:p w:rsidR="006046DF" w:rsidRPr="00C072F2" w:rsidRDefault="006046DF" w:rsidP="00000FDE">
      <w:pPr>
        <w:ind w:left="284" w:right="62"/>
        <w:rPr>
          <w:rFonts w:asciiTheme="majorHAnsi" w:hAnsiTheme="majorHAnsi"/>
          <w:sz w:val="28"/>
          <w:szCs w:val="28"/>
        </w:rPr>
      </w:pPr>
    </w:p>
    <w:p w:rsidR="00000FDE" w:rsidRPr="00C072F2" w:rsidRDefault="00000FDE" w:rsidP="00000FDE">
      <w:pPr>
        <w:ind w:left="284" w:right="62"/>
        <w:rPr>
          <w:rFonts w:asciiTheme="majorHAnsi" w:hAnsiTheme="majorHAnsi"/>
          <w:sz w:val="28"/>
          <w:szCs w:val="28"/>
        </w:rPr>
      </w:pPr>
    </w:p>
    <w:sectPr w:rsidR="00000FDE" w:rsidRPr="00C072F2" w:rsidSect="00000FDE">
      <w:headerReference w:type="even" r:id="rId6"/>
      <w:headerReference w:type="default" r:id="rId7"/>
      <w:footerReference w:type="even" r:id="rId8"/>
      <w:footerReference w:type="default" r:id="rId9"/>
      <w:headerReference w:type="first" r:id="rId10"/>
      <w:footerReference w:type="first" r:id="rId11"/>
      <w:type w:val="continuous"/>
      <w:pgSz w:w="11905" w:h="16837"/>
      <w:pgMar w:top="642" w:right="567" w:bottom="191" w:left="361"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D1F" w:rsidRDefault="007F3D1F" w:rsidP="006046DF">
      <w:r>
        <w:separator/>
      </w:r>
    </w:p>
  </w:endnote>
  <w:endnote w:type="continuationSeparator" w:id="1">
    <w:p w:rsidR="007F3D1F" w:rsidRDefault="007F3D1F" w:rsidP="006046DF">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01" w:rsidRDefault="0002610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01" w:rsidRDefault="0002610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01" w:rsidRDefault="0002610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D1F" w:rsidRDefault="007F3D1F"/>
  </w:footnote>
  <w:footnote w:type="continuationSeparator" w:id="1">
    <w:p w:rsidR="007F3D1F" w:rsidRDefault="007F3D1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01" w:rsidRDefault="0043180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20176" o:spid="_x0000_s4098" type="#_x0000_t136" style="position:absolute;margin-left:0;margin-top:0;width:734.85pt;height:38.65pt;rotation:315;z-index:-251654144;mso-position-horizontal:center;mso-position-horizontal-relative:margin;mso-position-vertical:center;mso-position-vertical-relative:margin" o:allowincell="f" fillcolor="#938953 [1614]" stroked="f">
          <v:fill opacity=".5"/>
          <v:textpath style="font-family:&quot;Arial Unicode MS&quot;;font-size:1pt" string="http://www.tkgm.gov.tr/tr/daire-başkanlıklari/hukuk-muşavirliğ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01" w:rsidRDefault="0043180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20177" o:spid="_x0000_s4099" type="#_x0000_t136" style="position:absolute;margin-left:0;margin-top:0;width:734.85pt;height:38.65pt;rotation:315;z-index:-251652096;mso-position-horizontal:center;mso-position-horizontal-relative:margin;mso-position-vertical:center;mso-position-vertical-relative:margin" o:allowincell="f" fillcolor="#938953 [1614]" stroked="f">
          <v:fill opacity=".5"/>
          <v:textpath style="font-family:&quot;Arial Unicode MS&quot;;font-size:1pt" string="http://www.tkgm.gov.tr/tr/daire-başkanlıklari/hukuk-muşavirliğ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101" w:rsidRDefault="0043180E">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520175" o:spid="_x0000_s4097" type="#_x0000_t136" style="position:absolute;margin-left:0;margin-top:0;width:734.85pt;height:38.65pt;rotation:315;z-index:-251656192;mso-position-horizontal:center;mso-position-horizontal-relative:margin;mso-position-vertical:center;mso-position-vertical-relative:margin" o:allowincell="f" fillcolor="#938953 [1614]" stroked="f">
          <v:fill opacity=".5"/>
          <v:textpath style="font-family:&quot;Arial Unicode MS&quot;;font-size:1pt" string="http://www.tkgm.gov.tr/tr/daire-başkanlıklari/hukuk-muşavirliği"/>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9218">
      <o:colormenu v:ext="edit" fillcolor="none [1614]"/>
    </o:shapedefaults>
    <o:shapelayout v:ext="edit">
      <o:idmap v:ext="edit" data="4"/>
    </o:shapelayout>
  </w:hdrShapeDefaults>
  <w:footnotePr>
    <w:footnote w:id="0"/>
    <w:footnote w:id="1"/>
  </w:footnotePr>
  <w:endnotePr>
    <w:endnote w:id="0"/>
    <w:endnote w:id="1"/>
  </w:endnotePr>
  <w:compat>
    <w:doNotExpandShiftReturn/>
    <w:useFELayout/>
  </w:compat>
  <w:rsids>
    <w:rsidRoot w:val="006046DF"/>
    <w:rsid w:val="00000FDE"/>
    <w:rsid w:val="00026101"/>
    <w:rsid w:val="0009135F"/>
    <w:rsid w:val="00134B49"/>
    <w:rsid w:val="001B58BE"/>
    <w:rsid w:val="002F6CFD"/>
    <w:rsid w:val="003165A9"/>
    <w:rsid w:val="0043180E"/>
    <w:rsid w:val="00464E3B"/>
    <w:rsid w:val="006046DF"/>
    <w:rsid w:val="007F3D1F"/>
    <w:rsid w:val="0080225D"/>
    <w:rsid w:val="00B92DC9"/>
    <w:rsid w:val="00C072F2"/>
    <w:rsid w:val="00D725EC"/>
    <w:rsid w:val="00E82A61"/>
    <w:rsid w:val="00FC46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16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46DF"/>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6046DF"/>
    <w:rPr>
      <w:color w:val="000080"/>
      <w:u w:val="single"/>
    </w:rPr>
  </w:style>
  <w:style w:type="character" w:customStyle="1" w:styleId="Balk1">
    <w:name w:val="Başlık #1_"/>
    <w:basedOn w:val="VarsaylanParagrafYazTipi"/>
    <w:link w:val="Balk10"/>
    <w:rsid w:val="006046DF"/>
    <w:rPr>
      <w:rFonts w:ascii="Times New Roman" w:eastAsia="Times New Roman" w:hAnsi="Times New Roman" w:cs="Times New Roman"/>
      <w:b w:val="0"/>
      <w:bCs w:val="0"/>
      <w:i w:val="0"/>
      <w:iCs w:val="0"/>
      <w:smallCaps w:val="0"/>
      <w:strike w:val="0"/>
      <w:spacing w:val="0"/>
      <w:sz w:val="21"/>
      <w:szCs w:val="21"/>
    </w:rPr>
  </w:style>
  <w:style w:type="character" w:customStyle="1" w:styleId="Balk11">
    <w:name w:val="Başlık #1"/>
    <w:basedOn w:val="Balk1"/>
    <w:rsid w:val="006046DF"/>
    <w:rPr>
      <w:u w:val="single"/>
    </w:rPr>
  </w:style>
  <w:style w:type="character" w:customStyle="1" w:styleId="Balk1KalnDeil">
    <w:name w:val="Başlık #1 + Kalın Değil"/>
    <w:basedOn w:val="Balk1"/>
    <w:rsid w:val="006046DF"/>
    <w:rPr>
      <w:b/>
      <w:bCs/>
      <w:spacing w:val="0"/>
    </w:rPr>
  </w:style>
  <w:style w:type="character" w:customStyle="1" w:styleId="Gvdemetni">
    <w:name w:val="Gövde metni_"/>
    <w:basedOn w:val="VarsaylanParagrafYazTipi"/>
    <w:link w:val="Gvdemetni0"/>
    <w:rsid w:val="006046DF"/>
    <w:rPr>
      <w:rFonts w:ascii="Times New Roman" w:eastAsia="Times New Roman" w:hAnsi="Times New Roman" w:cs="Times New Roman"/>
      <w:b w:val="0"/>
      <w:bCs w:val="0"/>
      <w:i w:val="0"/>
      <w:iCs w:val="0"/>
      <w:smallCaps w:val="0"/>
      <w:strike w:val="0"/>
      <w:spacing w:val="0"/>
      <w:sz w:val="21"/>
      <w:szCs w:val="21"/>
    </w:rPr>
  </w:style>
  <w:style w:type="character" w:customStyle="1" w:styleId="GvdemetniKaln">
    <w:name w:val="Gövde metni + Kalın"/>
    <w:basedOn w:val="Gvdemetni"/>
    <w:rsid w:val="006046DF"/>
    <w:rPr>
      <w:b/>
      <w:bCs/>
      <w:spacing w:val="0"/>
      <w:u w:val="single"/>
    </w:rPr>
  </w:style>
  <w:style w:type="character" w:customStyle="1" w:styleId="GvdemetniKaln0">
    <w:name w:val="Gövde metni + Kalın"/>
    <w:basedOn w:val="Gvdemetni"/>
    <w:rsid w:val="006046DF"/>
    <w:rPr>
      <w:b/>
      <w:bCs/>
      <w:spacing w:val="0"/>
    </w:rPr>
  </w:style>
  <w:style w:type="paragraph" w:customStyle="1" w:styleId="Balk10">
    <w:name w:val="Başlık #1"/>
    <w:basedOn w:val="Normal"/>
    <w:link w:val="Balk1"/>
    <w:rsid w:val="006046DF"/>
    <w:pPr>
      <w:shd w:val="clear" w:color="auto" w:fill="FFFFFF"/>
      <w:spacing w:line="326" w:lineRule="exact"/>
      <w:outlineLvl w:val="0"/>
    </w:pPr>
    <w:rPr>
      <w:rFonts w:ascii="Times New Roman" w:eastAsia="Times New Roman" w:hAnsi="Times New Roman" w:cs="Times New Roman"/>
      <w:b/>
      <w:bCs/>
      <w:sz w:val="21"/>
      <w:szCs w:val="21"/>
    </w:rPr>
  </w:style>
  <w:style w:type="paragraph" w:customStyle="1" w:styleId="Gvdemetni0">
    <w:name w:val="Gövde metni"/>
    <w:basedOn w:val="Normal"/>
    <w:link w:val="Gvdemetni"/>
    <w:rsid w:val="006046DF"/>
    <w:pPr>
      <w:shd w:val="clear" w:color="auto" w:fill="FFFFFF"/>
      <w:spacing w:line="317" w:lineRule="exact"/>
      <w:jc w:val="both"/>
    </w:pPr>
    <w:rPr>
      <w:rFonts w:ascii="Times New Roman" w:eastAsia="Times New Roman" w:hAnsi="Times New Roman" w:cs="Times New Roman"/>
      <w:sz w:val="21"/>
      <w:szCs w:val="21"/>
    </w:rPr>
  </w:style>
  <w:style w:type="paragraph" w:styleId="stbilgi">
    <w:name w:val="header"/>
    <w:basedOn w:val="Normal"/>
    <w:link w:val="stbilgiChar"/>
    <w:uiPriority w:val="99"/>
    <w:semiHidden/>
    <w:unhideWhenUsed/>
    <w:rsid w:val="00026101"/>
    <w:pPr>
      <w:tabs>
        <w:tab w:val="center" w:pos="4536"/>
        <w:tab w:val="right" w:pos="9072"/>
      </w:tabs>
    </w:pPr>
  </w:style>
  <w:style w:type="character" w:customStyle="1" w:styleId="stbilgiChar">
    <w:name w:val="Üstbilgi Char"/>
    <w:basedOn w:val="VarsaylanParagrafYazTipi"/>
    <w:link w:val="stbilgi"/>
    <w:uiPriority w:val="99"/>
    <w:semiHidden/>
    <w:rsid w:val="00026101"/>
    <w:rPr>
      <w:color w:val="000000"/>
    </w:rPr>
  </w:style>
  <w:style w:type="paragraph" w:styleId="Altbilgi">
    <w:name w:val="footer"/>
    <w:basedOn w:val="Normal"/>
    <w:link w:val="AltbilgiChar"/>
    <w:uiPriority w:val="99"/>
    <w:semiHidden/>
    <w:unhideWhenUsed/>
    <w:rsid w:val="00026101"/>
    <w:pPr>
      <w:tabs>
        <w:tab w:val="center" w:pos="4536"/>
        <w:tab w:val="right" w:pos="9072"/>
      </w:tabs>
    </w:pPr>
  </w:style>
  <w:style w:type="character" w:customStyle="1" w:styleId="AltbilgiChar">
    <w:name w:val="Altbilgi Char"/>
    <w:basedOn w:val="VarsaylanParagrafYazTipi"/>
    <w:link w:val="Altbilgi"/>
    <w:uiPriority w:val="99"/>
    <w:semiHidden/>
    <w:rsid w:val="00026101"/>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tk44369</dc:creator>
  <cp:lastModifiedBy>tk38553</cp:lastModifiedBy>
  <cp:revision>2</cp:revision>
  <dcterms:created xsi:type="dcterms:W3CDTF">2020-11-30T11:45:00Z</dcterms:created>
  <dcterms:modified xsi:type="dcterms:W3CDTF">2020-11-30T11:45:00Z</dcterms:modified>
</cp:coreProperties>
</file>